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6A36F" w14:textId="77777777" w:rsidR="00D5547E" w:rsidRPr="009E51FC" w:rsidRDefault="00D5547E" w:rsidP="004A6D2F"/>
    <w:tbl>
      <w:tblPr>
        <w:tblW w:w="0" w:type="auto"/>
        <w:tblInd w:w="108" w:type="dxa"/>
        <w:tblLayout w:type="fixed"/>
        <w:tblLook w:val="04A0" w:firstRow="1" w:lastRow="0" w:firstColumn="1" w:lastColumn="0" w:noHBand="0" w:noVBand="1"/>
      </w:tblPr>
      <w:tblGrid>
        <w:gridCol w:w="2438"/>
        <w:gridCol w:w="6406"/>
      </w:tblGrid>
      <w:tr w:rsidR="00CE544A" w:rsidRPr="00975B07" w14:paraId="6724703D" w14:textId="77777777" w:rsidTr="005F7F7E">
        <w:tc>
          <w:tcPr>
            <w:tcW w:w="2438" w:type="dxa"/>
            <w:shd w:val="clear" w:color="auto" w:fill="auto"/>
          </w:tcPr>
          <w:p w14:paraId="50C88B27"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388F28FE" w14:textId="77777777" w:rsidR="00F445B1" w:rsidRPr="00F95BC9" w:rsidRDefault="00DB7AD7" w:rsidP="004A6D2F">
            <w:pPr>
              <w:rPr>
                <w:rStyle w:val="Firstpagetablebold"/>
              </w:rPr>
            </w:pPr>
            <w:r>
              <w:rPr>
                <w:rStyle w:val="Firstpagetablebold"/>
              </w:rPr>
              <w:t>Cabinet</w:t>
            </w:r>
          </w:p>
        </w:tc>
      </w:tr>
      <w:tr w:rsidR="00CE544A" w:rsidRPr="00975B07" w14:paraId="6A7D4918" w14:textId="77777777" w:rsidTr="005F7F7E">
        <w:tc>
          <w:tcPr>
            <w:tcW w:w="2438" w:type="dxa"/>
            <w:shd w:val="clear" w:color="auto" w:fill="auto"/>
          </w:tcPr>
          <w:p w14:paraId="7BF2B770" w14:textId="77777777"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14:paraId="29743761" w14:textId="32328666" w:rsidR="00F445B1" w:rsidRPr="001356F1" w:rsidRDefault="0094673C" w:rsidP="007B5CA2">
            <w:pPr>
              <w:rPr>
                <w:b/>
              </w:rPr>
            </w:pPr>
            <w:r>
              <w:rPr>
                <w:rStyle w:val="Firstpagetablebold"/>
              </w:rPr>
              <w:t>22 January 2025</w:t>
            </w:r>
          </w:p>
        </w:tc>
      </w:tr>
      <w:tr w:rsidR="00CE544A" w:rsidRPr="00975B07" w14:paraId="3B23F937" w14:textId="77777777" w:rsidTr="005F7F7E">
        <w:tc>
          <w:tcPr>
            <w:tcW w:w="2438" w:type="dxa"/>
            <w:shd w:val="clear" w:color="auto" w:fill="auto"/>
          </w:tcPr>
          <w:p w14:paraId="636A1B26" w14:textId="77777777"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406" w:type="dxa"/>
            <w:shd w:val="clear" w:color="auto" w:fill="auto"/>
          </w:tcPr>
          <w:p w14:paraId="78A05D30" w14:textId="4FD7FCE2" w:rsidR="00F445B1" w:rsidRPr="001356F1" w:rsidRDefault="0094673C" w:rsidP="004A6D2F">
            <w:pPr>
              <w:rPr>
                <w:rStyle w:val="Firstpagetablebold"/>
              </w:rPr>
            </w:pPr>
            <w:r>
              <w:rPr>
                <w:rStyle w:val="Firstpagetablebold"/>
              </w:rPr>
              <w:t xml:space="preserve">The Monitoring Officer (Head of Law and Governance) </w:t>
            </w:r>
          </w:p>
        </w:tc>
      </w:tr>
      <w:tr w:rsidR="00CE544A" w:rsidRPr="00975B07" w14:paraId="20334D1A" w14:textId="77777777" w:rsidTr="005F7F7E">
        <w:tc>
          <w:tcPr>
            <w:tcW w:w="2438" w:type="dxa"/>
            <w:shd w:val="clear" w:color="auto" w:fill="auto"/>
          </w:tcPr>
          <w:p w14:paraId="6E1C99B4" w14:textId="77777777"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14:paraId="5A418FB7" w14:textId="79A4DFCE" w:rsidR="00F445B1" w:rsidRPr="001356F1" w:rsidRDefault="0094673C" w:rsidP="004A6D2F">
            <w:pPr>
              <w:rPr>
                <w:rStyle w:val="Firstpagetablebold"/>
              </w:rPr>
            </w:pPr>
            <w:r>
              <w:rPr>
                <w:rStyle w:val="Firstpagetablebold"/>
              </w:rPr>
              <w:t xml:space="preserve">Contractual and Governance re Fleet purchasing </w:t>
            </w:r>
          </w:p>
        </w:tc>
      </w:tr>
    </w:tbl>
    <w:p w14:paraId="6B21AE51" w14:textId="77777777" w:rsidR="004F20EF" w:rsidRDefault="004F20EF"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38"/>
        <w:gridCol w:w="6407"/>
      </w:tblGrid>
      <w:tr w:rsidR="00D5547E" w14:paraId="793E1FCE" w14:textId="77777777" w:rsidTr="0080749A">
        <w:tc>
          <w:tcPr>
            <w:tcW w:w="8845" w:type="dxa"/>
            <w:gridSpan w:val="2"/>
            <w:tcBorders>
              <w:bottom w:val="single" w:sz="8" w:space="0" w:color="000000"/>
            </w:tcBorders>
            <w:hideMark/>
          </w:tcPr>
          <w:p w14:paraId="06294B65" w14:textId="77777777"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D5547E" w14:paraId="7FB2BA3B" w14:textId="77777777" w:rsidTr="0080749A">
        <w:tc>
          <w:tcPr>
            <w:tcW w:w="2438" w:type="dxa"/>
            <w:tcBorders>
              <w:top w:val="single" w:sz="8" w:space="0" w:color="000000"/>
              <w:left w:val="single" w:sz="8" w:space="0" w:color="000000"/>
              <w:bottom w:val="nil"/>
              <w:right w:val="nil"/>
            </w:tcBorders>
            <w:hideMark/>
          </w:tcPr>
          <w:p w14:paraId="5F5711ED" w14:textId="77777777" w:rsidR="00D5547E" w:rsidRDefault="00D5547E">
            <w:pPr>
              <w:rPr>
                <w:rStyle w:val="Firstpagetablebold"/>
              </w:rPr>
            </w:pPr>
            <w:r>
              <w:rPr>
                <w:rStyle w:val="Firstpagetablebold"/>
              </w:rPr>
              <w:t>Purpose of report:</w:t>
            </w:r>
          </w:p>
        </w:tc>
        <w:tc>
          <w:tcPr>
            <w:tcW w:w="6407" w:type="dxa"/>
            <w:tcBorders>
              <w:top w:val="single" w:sz="8" w:space="0" w:color="000000"/>
              <w:left w:val="nil"/>
              <w:bottom w:val="nil"/>
              <w:right w:val="single" w:sz="8" w:space="0" w:color="000000"/>
            </w:tcBorders>
            <w:hideMark/>
          </w:tcPr>
          <w:p w14:paraId="40E7F8E4" w14:textId="77777777" w:rsidR="00D5547E" w:rsidRDefault="0094673C" w:rsidP="00DB7AD7">
            <w:r>
              <w:t xml:space="preserve">To provide Cabinet with a summary of the matters concerning the procurement of fleet which have led to governance issues arising and actions taken to prevent reoccurrence. </w:t>
            </w:r>
          </w:p>
          <w:p w14:paraId="2A57A71D" w14:textId="308CDEB5" w:rsidR="009231FF" w:rsidRPr="001356F1" w:rsidRDefault="009231FF" w:rsidP="00DB7AD7">
            <w:bookmarkStart w:id="0" w:name="_Hlk187330543"/>
            <w:r>
              <w:t xml:space="preserve">To seek approval to procure and delegations to </w:t>
            </w:r>
            <w:proofErr w:type="gramStart"/>
            <w:r>
              <w:t>enter into</w:t>
            </w:r>
            <w:proofErr w:type="gramEnd"/>
            <w:r>
              <w:t xml:space="preserve"> </w:t>
            </w:r>
            <w:r w:rsidR="001C4F64">
              <w:t xml:space="preserve">two </w:t>
            </w:r>
            <w:r>
              <w:t xml:space="preserve">contracts for the purchase of fleet to be used by Oxford Direct Services Limited.  </w:t>
            </w:r>
            <w:bookmarkEnd w:id="0"/>
          </w:p>
        </w:tc>
      </w:tr>
      <w:tr w:rsidR="00D5547E" w14:paraId="7CF27F3F" w14:textId="77777777" w:rsidTr="0080749A">
        <w:tc>
          <w:tcPr>
            <w:tcW w:w="2438" w:type="dxa"/>
            <w:tcBorders>
              <w:top w:val="nil"/>
              <w:left w:val="single" w:sz="8" w:space="0" w:color="000000"/>
              <w:bottom w:val="nil"/>
              <w:right w:val="nil"/>
            </w:tcBorders>
            <w:hideMark/>
          </w:tcPr>
          <w:p w14:paraId="069F5A34" w14:textId="77777777" w:rsidR="00D5547E" w:rsidRDefault="00D5547E">
            <w:pPr>
              <w:rPr>
                <w:rStyle w:val="Firstpagetablebold"/>
              </w:rPr>
            </w:pPr>
            <w:r>
              <w:rPr>
                <w:rStyle w:val="Firstpagetablebold"/>
              </w:rPr>
              <w:t>Key decision:</w:t>
            </w:r>
          </w:p>
        </w:tc>
        <w:tc>
          <w:tcPr>
            <w:tcW w:w="6407" w:type="dxa"/>
            <w:tcBorders>
              <w:top w:val="nil"/>
              <w:left w:val="nil"/>
              <w:bottom w:val="nil"/>
              <w:right w:val="single" w:sz="8" w:space="0" w:color="000000"/>
            </w:tcBorders>
            <w:hideMark/>
          </w:tcPr>
          <w:p w14:paraId="2A543E9B" w14:textId="27601F80" w:rsidR="00D5547E" w:rsidRPr="001356F1" w:rsidRDefault="0094673C" w:rsidP="005F7F7E">
            <w:r>
              <w:t>No</w:t>
            </w:r>
          </w:p>
        </w:tc>
      </w:tr>
      <w:tr w:rsidR="00D5547E" w14:paraId="04A85580" w14:textId="77777777" w:rsidTr="0080749A">
        <w:tc>
          <w:tcPr>
            <w:tcW w:w="2438" w:type="dxa"/>
            <w:tcBorders>
              <w:top w:val="nil"/>
              <w:left w:val="single" w:sz="8" w:space="0" w:color="000000"/>
              <w:bottom w:val="nil"/>
              <w:right w:val="nil"/>
            </w:tcBorders>
            <w:hideMark/>
          </w:tcPr>
          <w:p w14:paraId="7E0883E7" w14:textId="77777777" w:rsidR="00D5547E" w:rsidRDefault="00D860E2">
            <w:pPr>
              <w:rPr>
                <w:rStyle w:val="Firstpagetablebold"/>
              </w:rPr>
            </w:pPr>
            <w:r>
              <w:rPr>
                <w:rStyle w:val="Firstpagetablebold"/>
              </w:rPr>
              <w:t>Cabinet</w:t>
            </w:r>
            <w:r w:rsidR="00D5547E">
              <w:rPr>
                <w:rStyle w:val="Firstpagetablebold"/>
              </w:rPr>
              <w:t xml:space="preserve"> Member:</w:t>
            </w:r>
          </w:p>
        </w:tc>
        <w:tc>
          <w:tcPr>
            <w:tcW w:w="6407" w:type="dxa"/>
            <w:tcBorders>
              <w:top w:val="nil"/>
              <w:left w:val="nil"/>
              <w:bottom w:val="nil"/>
              <w:right w:val="single" w:sz="8" w:space="0" w:color="000000"/>
            </w:tcBorders>
            <w:hideMark/>
          </w:tcPr>
          <w:p w14:paraId="27B9240A" w14:textId="7BDD6CFF" w:rsidR="00D5547E" w:rsidRPr="001356F1" w:rsidRDefault="0094673C" w:rsidP="005F7F7E">
            <w:r>
              <w:t>N/A</w:t>
            </w:r>
          </w:p>
        </w:tc>
      </w:tr>
      <w:tr w:rsidR="0080749A" w14:paraId="4A54A614" w14:textId="77777777" w:rsidTr="0097170F">
        <w:tc>
          <w:tcPr>
            <w:tcW w:w="2438" w:type="dxa"/>
            <w:tcBorders>
              <w:top w:val="nil"/>
              <w:left w:val="single" w:sz="8" w:space="0" w:color="000000"/>
              <w:bottom w:val="nil"/>
              <w:right w:val="nil"/>
            </w:tcBorders>
          </w:tcPr>
          <w:p w14:paraId="48E4B603" w14:textId="77777777" w:rsidR="0080749A" w:rsidRDefault="0080749A">
            <w:pPr>
              <w:rPr>
                <w:rStyle w:val="Firstpagetablebold"/>
              </w:rPr>
            </w:pPr>
            <w:r>
              <w:rPr>
                <w:rStyle w:val="Firstpagetablebold"/>
              </w:rPr>
              <w:t>Corporate Priority:</w:t>
            </w:r>
          </w:p>
        </w:tc>
        <w:tc>
          <w:tcPr>
            <w:tcW w:w="6407" w:type="dxa"/>
            <w:tcBorders>
              <w:top w:val="nil"/>
              <w:left w:val="nil"/>
              <w:bottom w:val="nil"/>
              <w:right w:val="single" w:sz="8" w:space="0" w:color="000000"/>
            </w:tcBorders>
          </w:tcPr>
          <w:p w14:paraId="092778DF" w14:textId="321F0054" w:rsidR="0080749A" w:rsidRPr="001356F1" w:rsidRDefault="00C962FE" w:rsidP="005F7F7E">
            <w:r>
              <w:t xml:space="preserve">A </w:t>
            </w:r>
            <w:proofErr w:type="gramStart"/>
            <w:r>
              <w:t>well run</w:t>
            </w:r>
            <w:proofErr w:type="gramEnd"/>
            <w:r>
              <w:t xml:space="preserve"> Council </w:t>
            </w:r>
          </w:p>
        </w:tc>
      </w:tr>
      <w:tr w:rsidR="00D5547E" w14:paraId="6B24D7A2" w14:textId="77777777" w:rsidTr="0097170F">
        <w:tc>
          <w:tcPr>
            <w:tcW w:w="2438" w:type="dxa"/>
            <w:tcBorders>
              <w:top w:val="nil"/>
              <w:left w:val="single" w:sz="8" w:space="0" w:color="000000"/>
              <w:bottom w:val="single" w:sz="4" w:space="0" w:color="auto"/>
              <w:right w:val="nil"/>
            </w:tcBorders>
            <w:hideMark/>
          </w:tcPr>
          <w:p w14:paraId="2C742768" w14:textId="77777777" w:rsidR="00D5547E" w:rsidRDefault="00D5547E">
            <w:pPr>
              <w:rPr>
                <w:rStyle w:val="Firstpagetablebold"/>
              </w:rPr>
            </w:pPr>
            <w:r>
              <w:rPr>
                <w:rStyle w:val="Firstpagetablebold"/>
              </w:rPr>
              <w:t>Policy Framework:</w:t>
            </w:r>
          </w:p>
        </w:tc>
        <w:tc>
          <w:tcPr>
            <w:tcW w:w="6407" w:type="dxa"/>
            <w:tcBorders>
              <w:top w:val="nil"/>
              <w:left w:val="nil"/>
              <w:bottom w:val="single" w:sz="4" w:space="0" w:color="auto"/>
              <w:right w:val="single" w:sz="8" w:space="0" w:color="000000"/>
            </w:tcBorders>
            <w:hideMark/>
          </w:tcPr>
          <w:p w14:paraId="7F1887F6" w14:textId="0FBB16EC" w:rsidR="00D5547E" w:rsidRPr="001356F1" w:rsidRDefault="00C962FE" w:rsidP="005F7F7E">
            <w:r>
              <w:t xml:space="preserve">None. </w:t>
            </w:r>
          </w:p>
        </w:tc>
      </w:tr>
    </w:tbl>
    <w:p w14:paraId="7F715803" w14:textId="77777777" w:rsidR="00CE544A" w:rsidRDefault="00CE544A"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26"/>
        <w:gridCol w:w="8419"/>
      </w:tblGrid>
      <w:tr w:rsidR="0097170F" w:rsidRPr="00975B07" w14:paraId="50D85276" w14:textId="77777777" w:rsidTr="00FB6E8F">
        <w:trPr>
          <w:trHeight w:val="413"/>
        </w:trPr>
        <w:tc>
          <w:tcPr>
            <w:tcW w:w="8845" w:type="dxa"/>
            <w:gridSpan w:val="2"/>
            <w:tcBorders>
              <w:bottom w:val="single" w:sz="8" w:space="0" w:color="000000"/>
            </w:tcBorders>
          </w:tcPr>
          <w:p w14:paraId="3A4A562A" w14:textId="25F38BC8" w:rsidR="0097170F" w:rsidRPr="00975B07" w:rsidRDefault="0097170F" w:rsidP="00FB6E8F">
            <w:r>
              <w:rPr>
                <w:rStyle w:val="Firstpagetablebold"/>
              </w:rPr>
              <w:t>Recommendation(s):</w:t>
            </w:r>
            <w:r w:rsidR="009231FF">
              <w:rPr>
                <w:rStyle w:val="Firstpagetablebold"/>
              </w:rPr>
              <w:t xml:space="preserve"> </w:t>
            </w:r>
            <w:r w:rsidRPr="008954DF">
              <w:rPr>
                <w:rStyle w:val="Firstpagetablebold"/>
                <w:b w:val="0"/>
              </w:rPr>
              <w:t>That Cabinet resolves to:</w:t>
            </w:r>
          </w:p>
        </w:tc>
      </w:tr>
      <w:tr w:rsidR="0097170F" w:rsidRPr="00975B07" w14:paraId="75402612" w14:textId="77777777" w:rsidTr="00FB6E8F">
        <w:trPr>
          <w:trHeight w:val="283"/>
        </w:trPr>
        <w:tc>
          <w:tcPr>
            <w:tcW w:w="426" w:type="dxa"/>
            <w:tcBorders>
              <w:top w:val="single" w:sz="8" w:space="0" w:color="000000"/>
              <w:left w:val="single" w:sz="8" w:space="0" w:color="000000"/>
              <w:bottom w:val="nil"/>
              <w:right w:val="nil"/>
            </w:tcBorders>
          </w:tcPr>
          <w:p w14:paraId="15E06478" w14:textId="77777777" w:rsidR="0097170F" w:rsidRPr="00975B07" w:rsidRDefault="0097170F" w:rsidP="00FB6E8F">
            <w:r w:rsidRPr="00975B07">
              <w:t>1.</w:t>
            </w:r>
          </w:p>
        </w:tc>
        <w:tc>
          <w:tcPr>
            <w:tcW w:w="8419" w:type="dxa"/>
            <w:tcBorders>
              <w:top w:val="single" w:sz="8" w:space="0" w:color="000000"/>
              <w:left w:val="nil"/>
              <w:bottom w:val="nil"/>
              <w:right w:val="single" w:sz="8" w:space="0" w:color="000000"/>
            </w:tcBorders>
            <w:shd w:val="clear" w:color="auto" w:fill="auto"/>
          </w:tcPr>
          <w:p w14:paraId="5C7AFCC6" w14:textId="264A3F44" w:rsidR="0097170F" w:rsidRPr="001356F1" w:rsidRDefault="0094673C" w:rsidP="00FB6E8F">
            <w:r>
              <w:rPr>
                <w:rStyle w:val="Firstpagetablebold"/>
              </w:rPr>
              <w:t xml:space="preserve">Note </w:t>
            </w:r>
            <w:r>
              <w:rPr>
                <w:rStyle w:val="Firstpagetablebold"/>
                <w:b w:val="0"/>
                <w:bCs/>
              </w:rPr>
              <w:t xml:space="preserve">the historic matters set out in the report </w:t>
            </w:r>
          </w:p>
        </w:tc>
      </w:tr>
      <w:tr w:rsidR="0094673C" w:rsidRPr="00975B07" w14:paraId="0D7A4346" w14:textId="77777777" w:rsidTr="00C3505D">
        <w:trPr>
          <w:trHeight w:val="792"/>
        </w:trPr>
        <w:tc>
          <w:tcPr>
            <w:tcW w:w="426" w:type="dxa"/>
            <w:tcBorders>
              <w:top w:val="nil"/>
              <w:left w:val="single" w:sz="8" w:space="0" w:color="000000"/>
              <w:bottom w:val="nil"/>
              <w:right w:val="nil"/>
            </w:tcBorders>
          </w:tcPr>
          <w:p w14:paraId="39018131" w14:textId="77777777" w:rsidR="0094673C" w:rsidRPr="00975B07" w:rsidRDefault="0094673C" w:rsidP="00FB6E8F">
            <w:r w:rsidRPr="00975B07">
              <w:t>2.</w:t>
            </w:r>
          </w:p>
        </w:tc>
        <w:tc>
          <w:tcPr>
            <w:tcW w:w="8419" w:type="dxa"/>
            <w:tcBorders>
              <w:top w:val="nil"/>
              <w:left w:val="nil"/>
              <w:bottom w:val="nil"/>
              <w:right w:val="single" w:sz="8" w:space="0" w:color="000000"/>
            </w:tcBorders>
            <w:shd w:val="clear" w:color="auto" w:fill="auto"/>
          </w:tcPr>
          <w:p w14:paraId="09C609FF" w14:textId="6E958F6B" w:rsidR="0094673C" w:rsidRPr="001356F1" w:rsidRDefault="0094673C" w:rsidP="00FB6E8F">
            <w:r>
              <w:rPr>
                <w:rStyle w:val="Firstpagetablebold"/>
              </w:rPr>
              <w:t xml:space="preserve">Note </w:t>
            </w:r>
            <w:r>
              <w:rPr>
                <w:rStyle w:val="Firstpagetablebold"/>
                <w:b w:val="0"/>
                <w:bCs/>
              </w:rPr>
              <w:t xml:space="preserve">the steps taken to address the </w:t>
            </w:r>
            <w:r w:rsidRPr="0094673C">
              <w:rPr>
                <w:rStyle w:val="Firstpagetablebold"/>
                <w:b w:val="0"/>
                <w:bCs/>
              </w:rPr>
              <w:t>governance issues to prevent reoccurrence</w:t>
            </w:r>
            <w:r>
              <w:rPr>
                <w:rStyle w:val="Firstpagetablebold"/>
                <w:bCs/>
              </w:rPr>
              <w:t xml:space="preserve"> </w:t>
            </w:r>
            <w:r>
              <w:rPr>
                <w:rStyle w:val="Firstpagetablebold"/>
                <w:b w:val="0"/>
                <w:bCs/>
              </w:rPr>
              <w:t xml:space="preserve"> </w:t>
            </w:r>
          </w:p>
        </w:tc>
      </w:tr>
      <w:tr w:rsidR="00C3505D" w:rsidRPr="00975B07" w14:paraId="0DD8BE0F" w14:textId="77777777" w:rsidTr="00FA53DB">
        <w:trPr>
          <w:trHeight w:val="792"/>
        </w:trPr>
        <w:tc>
          <w:tcPr>
            <w:tcW w:w="426" w:type="dxa"/>
            <w:tcBorders>
              <w:top w:val="nil"/>
              <w:left w:val="single" w:sz="8" w:space="0" w:color="000000"/>
              <w:right w:val="nil"/>
            </w:tcBorders>
          </w:tcPr>
          <w:p w14:paraId="06FD2B91" w14:textId="3555DD31" w:rsidR="00C3505D" w:rsidRPr="00975B07" w:rsidRDefault="00C3505D" w:rsidP="00FB6E8F">
            <w:r>
              <w:t xml:space="preserve">3. </w:t>
            </w:r>
          </w:p>
        </w:tc>
        <w:tc>
          <w:tcPr>
            <w:tcW w:w="8419" w:type="dxa"/>
            <w:tcBorders>
              <w:top w:val="nil"/>
              <w:left w:val="nil"/>
              <w:right w:val="single" w:sz="8" w:space="0" w:color="000000"/>
            </w:tcBorders>
            <w:shd w:val="clear" w:color="auto" w:fill="auto"/>
          </w:tcPr>
          <w:p w14:paraId="397D0FED" w14:textId="1D85A400" w:rsidR="00C3505D" w:rsidRPr="00C3505D" w:rsidRDefault="00C3505D" w:rsidP="00BE1956">
            <w:pPr>
              <w:rPr>
                <w:rStyle w:val="Firstpagetablebold"/>
                <w:b w:val="0"/>
                <w:bCs/>
              </w:rPr>
            </w:pPr>
            <w:r w:rsidRPr="00C3505D">
              <w:rPr>
                <w:rStyle w:val="Firstpagetablebold"/>
              </w:rPr>
              <w:t>D</w:t>
            </w:r>
            <w:r>
              <w:rPr>
                <w:rStyle w:val="Firstpagetablebold"/>
                <w:bCs/>
              </w:rPr>
              <w:t xml:space="preserve">elegate </w:t>
            </w:r>
            <w:r w:rsidRPr="00C3505D">
              <w:rPr>
                <w:rStyle w:val="Firstpagetablebold"/>
                <w:b w:val="0"/>
              </w:rPr>
              <w:t>to the</w:t>
            </w:r>
            <w:r>
              <w:rPr>
                <w:rStyle w:val="Firstpagetablebold"/>
              </w:rPr>
              <w:t xml:space="preserve"> </w:t>
            </w:r>
            <w:r w:rsidR="009231FF">
              <w:rPr>
                <w:rStyle w:val="Firstpagetablebold"/>
                <w:b w:val="0"/>
                <w:bCs/>
              </w:rPr>
              <w:t xml:space="preserve">Head of Finance (Section 151 Officer), in consultation with the </w:t>
            </w:r>
            <w:r>
              <w:rPr>
                <w:rStyle w:val="Firstpagetablebold"/>
                <w:b w:val="0"/>
                <w:bCs/>
              </w:rPr>
              <w:t>Monitoring Officer</w:t>
            </w:r>
            <w:r w:rsidR="009231FF">
              <w:rPr>
                <w:rStyle w:val="Firstpagetablebold"/>
                <w:b w:val="0"/>
                <w:bCs/>
              </w:rPr>
              <w:t xml:space="preserve">, authority to </w:t>
            </w:r>
            <w:r>
              <w:rPr>
                <w:rStyle w:val="Firstpagetablebold"/>
                <w:b w:val="0"/>
                <w:bCs/>
              </w:rPr>
              <w:t xml:space="preserve">award </w:t>
            </w:r>
            <w:r w:rsidR="009231FF">
              <w:rPr>
                <w:rStyle w:val="Firstpagetablebold"/>
                <w:b w:val="0"/>
                <w:bCs/>
              </w:rPr>
              <w:t>two</w:t>
            </w:r>
            <w:r>
              <w:rPr>
                <w:rStyle w:val="Firstpagetablebold"/>
                <w:b w:val="0"/>
                <w:bCs/>
              </w:rPr>
              <w:t xml:space="preserve"> contract for the </w:t>
            </w:r>
            <w:r w:rsidRPr="00252A87">
              <w:rPr>
                <w:rStyle w:val="Firstpagetablebold"/>
                <w:b w:val="0"/>
                <w:bCs/>
              </w:rPr>
              <w:t xml:space="preserve">purchase of </w:t>
            </w:r>
            <w:r w:rsidR="00252A87" w:rsidRPr="00252A87">
              <w:rPr>
                <w:rStyle w:val="Firstpagetablebold"/>
                <w:b w:val="0"/>
                <w:bCs/>
              </w:rPr>
              <w:t>fleet vehicles</w:t>
            </w:r>
            <w:r w:rsidR="00252A87">
              <w:rPr>
                <w:rStyle w:val="Firstpagetablebold"/>
                <w:b w:val="0"/>
                <w:bCs/>
              </w:rPr>
              <w:t xml:space="preserve"> as detailed at section 1</w:t>
            </w:r>
            <w:r w:rsidR="00E52878">
              <w:rPr>
                <w:rStyle w:val="Firstpagetablebold"/>
                <w:b w:val="0"/>
                <w:bCs/>
              </w:rPr>
              <w:t>7</w:t>
            </w:r>
            <w:r w:rsidR="00252A87">
              <w:rPr>
                <w:rStyle w:val="Firstpagetablebold"/>
                <w:b w:val="0"/>
                <w:bCs/>
              </w:rPr>
              <w:t xml:space="preserve"> to 2</w:t>
            </w:r>
            <w:r w:rsidR="00E52878">
              <w:rPr>
                <w:rStyle w:val="Firstpagetablebold"/>
                <w:b w:val="0"/>
                <w:bCs/>
              </w:rPr>
              <w:t>3</w:t>
            </w:r>
            <w:r w:rsidR="00252A87">
              <w:rPr>
                <w:rStyle w:val="Firstpagetablebold"/>
                <w:b w:val="0"/>
                <w:bCs/>
              </w:rPr>
              <w:t xml:space="preserve"> of the report </w:t>
            </w:r>
            <w:r>
              <w:rPr>
                <w:rStyle w:val="Firstpagetablebold"/>
                <w:b w:val="0"/>
                <w:bCs/>
              </w:rPr>
              <w:t xml:space="preserve">following </w:t>
            </w:r>
            <w:r w:rsidR="00252A87">
              <w:rPr>
                <w:rStyle w:val="Firstpagetablebold"/>
                <w:b w:val="0"/>
                <w:bCs/>
              </w:rPr>
              <w:t xml:space="preserve">the completion of the procurement process. </w:t>
            </w:r>
            <w:r>
              <w:rPr>
                <w:rStyle w:val="Firstpagetablebold"/>
                <w:b w:val="0"/>
                <w:bCs/>
              </w:rPr>
              <w:t xml:space="preserve">  </w:t>
            </w:r>
          </w:p>
        </w:tc>
      </w:tr>
    </w:tbl>
    <w:p w14:paraId="4A4682C0" w14:textId="77777777" w:rsidR="0097170F" w:rsidRPr="009E51FC" w:rsidRDefault="0097170F"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06"/>
      </w:tblGrid>
      <w:tr w:rsidR="00966D42" w:rsidRPr="00975B07" w14:paraId="075FC2EF" w14:textId="77777777" w:rsidTr="00A46E98">
        <w:tc>
          <w:tcPr>
            <w:tcW w:w="8844" w:type="dxa"/>
            <w:gridSpan w:val="2"/>
            <w:tcBorders>
              <w:top w:val="single" w:sz="8" w:space="0" w:color="000000"/>
              <w:left w:val="single" w:sz="8" w:space="0" w:color="000000"/>
              <w:bottom w:val="single" w:sz="8" w:space="0" w:color="000000"/>
              <w:right w:val="single" w:sz="8" w:space="0" w:color="000000"/>
            </w:tcBorders>
            <w:shd w:val="clear" w:color="auto" w:fill="auto"/>
          </w:tcPr>
          <w:p w14:paraId="0E12EECC" w14:textId="77777777" w:rsidR="00966D42" w:rsidRPr="00975B07" w:rsidRDefault="00966D42" w:rsidP="00263EA3">
            <w:pPr>
              <w:jc w:val="center"/>
            </w:pPr>
            <w:r w:rsidRPr="00745BF0">
              <w:rPr>
                <w:rStyle w:val="Firstpagetablebold"/>
              </w:rPr>
              <w:t>Appendices</w:t>
            </w:r>
          </w:p>
        </w:tc>
      </w:tr>
      <w:tr w:rsidR="0094673C" w:rsidRPr="00975B07" w14:paraId="2D71C97A" w14:textId="77777777" w:rsidTr="00DD0BB8">
        <w:trPr>
          <w:trHeight w:val="351"/>
        </w:trPr>
        <w:tc>
          <w:tcPr>
            <w:tcW w:w="2438" w:type="dxa"/>
            <w:tcBorders>
              <w:top w:val="single" w:sz="8" w:space="0" w:color="000000"/>
              <w:left w:val="single" w:sz="8" w:space="0" w:color="000000"/>
              <w:bottom w:val="single" w:sz="8" w:space="0" w:color="000000"/>
              <w:right w:val="nil"/>
            </w:tcBorders>
            <w:shd w:val="clear" w:color="auto" w:fill="auto"/>
          </w:tcPr>
          <w:p w14:paraId="7FC5EE7D" w14:textId="7A504744" w:rsidR="0094673C" w:rsidRPr="00975B07" w:rsidRDefault="00F64024" w:rsidP="004A6D2F">
            <w:r>
              <w:t>Appendix 1</w:t>
            </w:r>
          </w:p>
        </w:tc>
        <w:tc>
          <w:tcPr>
            <w:tcW w:w="6406" w:type="dxa"/>
            <w:tcBorders>
              <w:top w:val="single" w:sz="8" w:space="0" w:color="000000"/>
              <w:left w:val="nil"/>
              <w:bottom w:val="single" w:sz="8" w:space="0" w:color="000000"/>
              <w:right w:val="single" w:sz="8" w:space="0" w:color="000000"/>
            </w:tcBorders>
          </w:tcPr>
          <w:p w14:paraId="675B1CEE" w14:textId="523B8AA8" w:rsidR="0094673C" w:rsidRPr="001356F1" w:rsidRDefault="00F64024" w:rsidP="004A6D2F">
            <w:r>
              <w:t xml:space="preserve">Fleet Procurements since 2018 </w:t>
            </w:r>
          </w:p>
        </w:tc>
      </w:tr>
    </w:tbl>
    <w:p w14:paraId="26215B31" w14:textId="77777777" w:rsidR="0040736F" w:rsidRPr="001356F1" w:rsidRDefault="00F66DCA" w:rsidP="004A6D2F">
      <w:pPr>
        <w:pStyle w:val="Heading1"/>
      </w:pPr>
      <w:r w:rsidRPr="001356F1">
        <w:t>Introduction and b</w:t>
      </w:r>
      <w:r w:rsidR="00151888" w:rsidRPr="001356F1">
        <w:t>ackground</w:t>
      </w:r>
      <w:r w:rsidR="00404032" w:rsidRPr="001356F1">
        <w:t xml:space="preserve"> </w:t>
      </w:r>
    </w:p>
    <w:p w14:paraId="4B45193E" w14:textId="1426FFE9" w:rsidR="00355181" w:rsidRDefault="00355181" w:rsidP="002B6836">
      <w:pPr>
        <w:pStyle w:val="bParagraphtext"/>
      </w:pPr>
      <w:r>
        <w:t xml:space="preserve">Fleet utilised by Oxford Direct Services Limited and Oxford Direct Services Trading Limited (“ODS”) are purchased by the Council. The Council </w:t>
      </w:r>
      <w:proofErr w:type="gramStart"/>
      <w:r>
        <w:t>enter into</w:t>
      </w:r>
      <w:proofErr w:type="gramEnd"/>
      <w:r>
        <w:t xml:space="preserve"> the contracts </w:t>
      </w:r>
      <w:r>
        <w:lastRenderedPageBreak/>
        <w:t>and make payment to the suppliers, with ODS carrying out the procurement. The vehicles are then held by the Council, depreciated over 7 years but leased to ODS over that time with a</w:t>
      </w:r>
      <w:r w:rsidR="00E767AC">
        <w:t>n appropriate leasing charge inclusive of interest payable to Council</w:t>
      </w:r>
      <w:r>
        <w:t xml:space="preserve"> under the lease arrangements. </w:t>
      </w:r>
    </w:p>
    <w:p w14:paraId="08AC3E86" w14:textId="010E1E8A" w:rsidR="00355181" w:rsidRDefault="00355181" w:rsidP="002B6836">
      <w:pPr>
        <w:pStyle w:val="bParagraphtext"/>
      </w:pPr>
      <w:r>
        <w:t>ODS scope and determine need in terms of fleet management. Fleet is used across a range of functions, including housing, waste, streets and parks. Life cycle of the fleet ranges</w:t>
      </w:r>
      <w:r w:rsidR="00BE1956">
        <w:t xml:space="preserve"> typically</w:t>
      </w:r>
      <w:r>
        <w:t xml:space="preserve"> from 7 to 10 years. </w:t>
      </w:r>
    </w:p>
    <w:p w14:paraId="008DFAFE" w14:textId="5FE17F70" w:rsidR="00C93D3F" w:rsidRDefault="00C93D3F" w:rsidP="002B6836">
      <w:pPr>
        <w:pStyle w:val="bParagraphtext"/>
      </w:pPr>
      <w:r>
        <w:t>The following issue relates only to where ODS have procured something which the Council has then be</w:t>
      </w:r>
      <w:r w:rsidR="002331E2">
        <w:t>en</w:t>
      </w:r>
      <w:r>
        <w:t xml:space="preserve"> the purchaser of / entered into the contract for. It does not affect any subcontracting arrangements they may have for delivery of their own contracts with the Council. </w:t>
      </w:r>
    </w:p>
    <w:p w14:paraId="64CE8C4D" w14:textId="37343D00" w:rsidR="00C25E21" w:rsidRDefault="00355181" w:rsidP="002B6836">
      <w:pPr>
        <w:pStyle w:val="bParagraphtext"/>
      </w:pPr>
      <w:r>
        <w:t>Toward the end of October 2024 6</w:t>
      </w:r>
      <w:r w:rsidR="00C93D3F">
        <w:t>x</w:t>
      </w:r>
      <w:r>
        <w:t xml:space="preserve"> waste refuse collection vehicles were required by ODS and were scoped and procured via a framework. It appears the procurement process was completed compliantly in line with the framework terms and conditions and award was made for fleet totalling approximately £1.5m. </w:t>
      </w:r>
    </w:p>
    <w:p w14:paraId="50566377" w14:textId="65B141C7" w:rsidR="00355181" w:rsidRDefault="00F901DA" w:rsidP="002B6836">
      <w:pPr>
        <w:pStyle w:val="bParagraphtext"/>
      </w:pPr>
      <w:r>
        <w:t xml:space="preserve">The </w:t>
      </w:r>
      <w:r w:rsidR="00355181">
        <w:t>OCC procurement forms were signed off</w:t>
      </w:r>
      <w:r w:rsidR="002331E2">
        <w:t xml:space="preserve"> in line with procedure</w:t>
      </w:r>
      <w:r>
        <w:t>, however</w:t>
      </w:r>
      <w:r w:rsidR="00355181">
        <w:t xml:space="preserve"> no cabinet decision was sought for the contract award. </w:t>
      </w:r>
      <w:r w:rsidR="002331E2">
        <w:t>T</w:t>
      </w:r>
      <w:r w:rsidR="00355181">
        <w:t xml:space="preserve">he contract award was a key decision under the constitution (at that time spend over £500k/contracts over £1m). </w:t>
      </w:r>
    </w:p>
    <w:p w14:paraId="766B7696" w14:textId="2264A738" w:rsidR="000C5683" w:rsidRDefault="002331E2" w:rsidP="002B6836">
      <w:pPr>
        <w:pStyle w:val="bParagraphtext"/>
      </w:pPr>
      <w:r>
        <w:t>This was a result of an oversight</w:t>
      </w:r>
      <w:r w:rsidR="00982364">
        <w:t xml:space="preserve"> </w:t>
      </w:r>
      <w:r w:rsidR="003B1590">
        <w:t>the officers in ODS leading on letting</w:t>
      </w:r>
      <w:r>
        <w:t xml:space="preserve"> </w:t>
      </w:r>
      <w:r w:rsidR="00982364">
        <w:t xml:space="preserve">the </w:t>
      </w:r>
      <w:r w:rsidR="003B1590">
        <w:t xml:space="preserve">contract were not aware of the council’s </w:t>
      </w:r>
      <w:proofErr w:type="gramStart"/>
      <w:r w:rsidR="003B1590">
        <w:t>decision making</w:t>
      </w:r>
      <w:proofErr w:type="gramEnd"/>
      <w:r w:rsidR="003B1590">
        <w:t xml:space="preserve"> governance requirements</w:t>
      </w:r>
      <w:r w:rsidR="00C25E21">
        <w:t>. As</w:t>
      </w:r>
      <w:r w:rsidR="003B1590">
        <w:t xml:space="preserve"> </w:t>
      </w:r>
      <w:r w:rsidR="00982364">
        <w:t xml:space="preserve">purchasing and leasing of fleet to ODS is a technical transaction </w:t>
      </w:r>
      <w:r w:rsidR="003B1590">
        <w:t xml:space="preserve">there was no </w:t>
      </w:r>
      <w:r w:rsidR="00644F45">
        <w:t>senior council officer</w:t>
      </w:r>
      <w:r w:rsidR="00C25E21">
        <w:t xml:space="preserve"> client</w:t>
      </w:r>
      <w:r w:rsidR="00644F45">
        <w:t xml:space="preserve"> lead</w:t>
      </w:r>
      <w:r w:rsidR="000C5683">
        <w:t>,</w:t>
      </w:r>
    </w:p>
    <w:p w14:paraId="59299B60" w14:textId="7B974290" w:rsidR="00355181" w:rsidRDefault="000C5683" w:rsidP="009231FF">
      <w:pPr>
        <w:pStyle w:val="ListParagraph"/>
      </w:pPr>
      <w:r>
        <w:t xml:space="preserve">The need to secure the delivery of the fleet led to some pressure to get the contract signed and it was signed, dated and sealed at the end of October 2024. Unfortunately, </w:t>
      </w:r>
      <w:proofErr w:type="gramStart"/>
      <w:r>
        <w:t>as a consequence</w:t>
      </w:r>
      <w:proofErr w:type="gramEnd"/>
      <w:r>
        <w:t xml:space="preserve"> the authority was not properly checked when being prepared for execution by OCC and the contract should not have been sealed. </w:t>
      </w:r>
    </w:p>
    <w:p w14:paraId="65611E47" w14:textId="50CB7A46" w:rsidR="00F64024" w:rsidRPr="00F64024" w:rsidRDefault="00F64024" w:rsidP="00F64024">
      <w:pPr>
        <w:pStyle w:val="bParagraphtext"/>
      </w:pPr>
      <w:r w:rsidRPr="00F64024">
        <w:rPr>
          <w:rFonts w:cs="Arial"/>
        </w:rPr>
        <w:t xml:space="preserve">Though not intentional, this meant that the contract was </w:t>
      </w:r>
      <w:r w:rsidR="00982364">
        <w:rPr>
          <w:rFonts w:cs="Arial"/>
        </w:rPr>
        <w:t xml:space="preserve">technically </w:t>
      </w:r>
      <w:r w:rsidRPr="00F64024">
        <w:rPr>
          <w:rFonts w:cs="Arial"/>
        </w:rPr>
        <w:t>let in breach of the Council’s constitution and in breach of the requirements of the</w:t>
      </w:r>
      <w:r w:rsidRPr="00F64024">
        <w:rPr>
          <w:rFonts w:cs="Arial"/>
          <w:color w:val="1E1E1E"/>
        </w:rPr>
        <w:t xml:space="preserve"> Local Authorities (Executive Arrangements) (Meetings and Access to Information) (England) Regulations 2012</w:t>
      </w:r>
      <w:r>
        <w:rPr>
          <w:rFonts w:cs="Arial"/>
          <w:color w:val="1E1E1E"/>
        </w:rPr>
        <w:t xml:space="preserve"> (“the Regs”). </w:t>
      </w:r>
    </w:p>
    <w:p w14:paraId="76DDC061" w14:textId="77777777" w:rsidR="00E52878" w:rsidRDefault="00F64024" w:rsidP="00E52878">
      <w:pPr>
        <w:pStyle w:val="bParagraphtext"/>
      </w:pPr>
      <w:r>
        <w:rPr>
          <w:rFonts w:cs="Arial"/>
          <w:color w:val="1E1E1E"/>
        </w:rPr>
        <w:t xml:space="preserve">The Regs require notice of all key decisions </w:t>
      </w:r>
      <w:r w:rsidR="00982364">
        <w:rPr>
          <w:rFonts w:cs="Arial"/>
          <w:color w:val="1E1E1E"/>
        </w:rPr>
        <w:t>to be</w:t>
      </w:r>
      <w:r>
        <w:rPr>
          <w:rFonts w:cs="Arial"/>
          <w:color w:val="1E1E1E"/>
        </w:rPr>
        <w:t xml:space="preserve"> published 28 days in advance of being taken with specified information on what decision is taken. This did not happen and the provisions that can allow for this to be dispensed with were also not engaged. As such the contract was let without </w:t>
      </w:r>
      <w:r w:rsidR="00982364">
        <w:rPr>
          <w:rFonts w:cs="Arial"/>
          <w:color w:val="1E1E1E"/>
        </w:rPr>
        <w:t xml:space="preserve">the appropriate </w:t>
      </w:r>
      <w:r>
        <w:rPr>
          <w:rFonts w:cs="Arial"/>
          <w:color w:val="1E1E1E"/>
        </w:rPr>
        <w:t xml:space="preserve">authority and not in line with the legal requirements. </w:t>
      </w:r>
    </w:p>
    <w:p w14:paraId="55EA10E5" w14:textId="4DCE1A8F" w:rsidR="003B1590" w:rsidRPr="001356F1" w:rsidRDefault="00F64024" w:rsidP="00E52878">
      <w:pPr>
        <w:pStyle w:val="bParagraphtext"/>
      </w:pPr>
      <w:r>
        <w:t xml:space="preserve">All fleet procurements since 2018 have been reviewed </w:t>
      </w:r>
      <w:r w:rsidR="0054280B">
        <w:t xml:space="preserve">(see Appendix 1) </w:t>
      </w:r>
      <w:r>
        <w:t>and</w:t>
      </w:r>
      <w:r w:rsidR="0054280B">
        <w:t xml:space="preserve"> this is the only contract in the period since ODS were formed where it is exceeded key decision threshold. The issue with the Regs is therefore limited to this one contract. </w:t>
      </w:r>
      <w:r w:rsidR="00977463">
        <w:t>However,</w:t>
      </w:r>
      <w:r w:rsidR="0054280B">
        <w:t xml:space="preserve"> </w:t>
      </w:r>
      <w:r w:rsidR="003B1590">
        <w:t xml:space="preserve">the under the constitution at the time, contracts over £10,000 should have had a corresponding published officer decision, which did not happen with these fleet purchases. </w:t>
      </w:r>
      <w:r w:rsidR="0054280B">
        <w:t xml:space="preserve">There is a need to ensure where the Council’s wholly owned companies are letting contracts in the name of the </w:t>
      </w:r>
      <w:r w:rsidR="00977463">
        <w:t>Council,</w:t>
      </w:r>
      <w:r w:rsidR="0054280B">
        <w:t xml:space="preserve"> they are following the constitutional requirements</w:t>
      </w:r>
      <w:r w:rsidR="003B1590">
        <w:t>.</w:t>
      </w:r>
    </w:p>
    <w:p w14:paraId="3958E9DD" w14:textId="7B400B68" w:rsidR="00633578" w:rsidRPr="000C5683" w:rsidRDefault="00F64024" w:rsidP="009231FF">
      <w:pPr>
        <w:pStyle w:val="bParagraphtext"/>
        <w:numPr>
          <w:ilvl w:val="0"/>
          <w:numId w:val="0"/>
        </w:numPr>
        <w:ind w:left="426" w:hanging="426"/>
        <w:rPr>
          <w:bCs/>
        </w:rPr>
      </w:pPr>
      <w:r w:rsidRPr="009231FF">
        <w:rPr>
          <w:b/>
          <w:bCs/>
        </w:rPr>
        <w:t xml:space="preserve">Steps taken to address the contract </w:t>
      </w:r>
    </w:p>
    <w:p w14:paraId="6F6DF346" w14:textId="2F985809" w:rsidR="00F64024" w:rsidRDefault="00F64024" w:rsidP="00AE1684">
      <w:pPr>
        <w:pStyle w:val="bParagraphtext"/>
      </w:pPr>
      <w:r>
        <w:lastRenderedPageBreak/>
        <w:t>On becoming aware</w:t>
      </w:r>
      <w:r w:rsidR="00644F45">
        <w:t xml:space="preserve">, </w:t>
      </w:r>
      <w:r>
        <w:t xml:space="preserve">the order for the fleet was paused whilst the issue was addressed. As the contract was unlawfully let the order could not be progressed as it would have compounded the issue for the Council. </w:t>
      </w:r>
    </w:p>
    <w:p w14:paraId="41C358BB" w14:textId="141751F2" w:rsidR="00F64024" w:rsidRDefault="00F64024" w:rsidP="00AE1684">
      <w:pPr>
        <w:pStyle w:val="bParagraphtext"/>
      </w:pPr>
      <w:r>
        <w:t xml:space="preserve">The supplier has been approached and has agreed to </w:t>
      </w:r>
      <w:proofErr w:type="gramStart"/>
      <w:r>
        <w:t>enter into</w:t>
      </w:r>
      <w:proofErr w:type="gramEnd"/>
      <w:r>
        <w:t xml:space="preserve"> a deed of termination for the contract entered in to at the end of October</w:t>
      </w:r>
      <w:r w:rsidR="00252A87">
        <w:t xml:space="preserve"> (subject to agreement of final terms)</w:t>
      </w:r>
      <w:r>
        <w:t xml:space="preserve">. </w:t>
      </w:r>
      <w:r w:rsidRPr="00252A87">
        <w:t>It is anticipated that this will be entered in to prior to the Cabinet meeting this report will be presented at. A verbal update will be provided</w:t>
      </w:r>
      <w:r w:rsidR="00252A87">
        <w:t xml:space="preserve"> and delegation to the Head of Law and Governance is already provided for within the Legal Rules of the constitution. </w:t>
      </w:r>
    </w:p>
    <w:p w14:paraId="7D5CE98B" w14:textId="78F5C4F9" w:rsidR="00C3505D" w:rsidRDefault="00C3505D" w:rsidP="0054280B">
      <w:pPr>
        <w:pStyle w:val="bParagraphtext"/>
      </w:pPr>
      <w:r>
        <w:t xml:space="preserve">There was no way that the contract could be retrospectively ratified given the requirements of the regulations and therefore this is the required course of action. </w:t>
      </w:r>
    </w:p>
    <w:p w14:paraId="5807239A" w14:textId="51AAFB2F" w:rsidR="00C3505D" w:rsidRPr="00C3505D" w:rsidRDefault="00C3505D" w:rsidP="00C3505D">
      <w:pPr>
        <w:pStyle w:val="bParagraphtext"/>
        <w:numPr>
          <w:ilvl w:val="0"/>
          <w:numId w:val="0"/>
        </w:numPr>
        <w:rPr>
          <w:b/>
          <w:bCs/>
        </w:rPr>
      </w:pPr>
      <w:r>
        <w:rPr>
          <w:b/>
          <w:bCs/>
        </w:rPr>
        <w:t xml:space="preserve">Next Steps – fleet management </w:t>
      </w:r>
    </w:p>
    <w:p w14:paraId="47D7794E" w14:textId="77777777" w:rsidR="00C3505D" w:rsidRDefault="00C3505D" w:rsidP="00AE1684">
      <w:pPr>
        <w:pStyle w:val="bParagraphtext"/>
      </w:pPr>
      <w:r>
        <w:t xml:space="preserve">ODS have taken this pause to review the requirements of the fleet order. They will finalise the requirements and, in conjunction with OCC’s Procurement team, they will commence a new procurement via a framework agreement. Work is already underway to progress this. </w:t>
      </w:r>
    </w:p>
    <w:p w14:paraId="2A830735" w14:textId="41321665" w:rsidR="00D81A80" w:rsidRDefault="00C3505D" w:rsidP="009231FF">
      <w:pPr>
        <w:pStyle w:val="bParagraphtext"/>
      </w:pPr>
      <w:r>
        <w:t xml:space="preserve">Depending on the speed of award this will mean that the fleet will be delivered towards the end of 2025. </w:t>
      </w:r>
    </w:p>
    <w:p w14:paraId="22C7A7EB" w14:textId="1EDE1C3A" w:rsidR="00E87F7A" w:rsidRDefault="00C3505D" w:rsidP="002B6836">
      <w:pPr>
        <w:pStyle w:val="bParagraphtext"/>
      </w:pPr>
      <w:r>
        <w:t>The fleet that is being replaced is at 10 years in its life span and therefore there are risks with the reliability of the</w:t>
      </w:r>
      <w:r w:rsidR="00BE1956">
        <w:t>se vehicles</w:t>
      </w:r>
      <w:r>
        <w:t xml:space="preserve">, though they are currently operational. </w:t>
      </w:r>
      <w:r w:rsidR="00BE1956" w:rsidRPr="00BE1956">
        <w:rPr>
          <w:rStyle w:val="ListParagraphChar"/>
        </w:rPr>
        <w:t xml:space="preserve">None of the existing </w:t>
      </w:r>
      <w:r w:rsidR="00BE1956">
        <w:rPr>
          <w:rStyle w:val="ListParagraphChar"/>
        </w:rPr>
        <w:t>domestic refuse collection vehicles (RCVs)</w:t>
      </w:r>
      <w:r w:rsidR="00BE1956" w:rsidRPr="00BE1956">
        <w:rPr>
          <w:rStyle w:val="ListParagraphChar"/>
        </w:rPr>
        <w:t xml:space="preserve"> will be sold </w:t>
      </w:r>
      <w:r w:rsidR="00BE1956">
        <w:rPr>
          <w:rStyle w:val="ListParagraphChar"/>
        </w:rPr>
        <w:t xml:space="preserve">until the delivery of replacement vehicles. </w:t>
      </w:r>
      <w:r w:rsidR="00D81A80">
        <w:rPr>
          <w:rStyle w:val="ListParagraphChar"/>
        </w:rPr>
        <w:t xml:space="preserve">ODS is also exploring the opportunity to rent additional domestic RCVs. </w:t>
      </w:r>
      <w:r>
        <w:t xml:space="preserve">The future contract is on the forward plan. Delegation is sought to </w:t>
      </w:r>
      <w:proofErr w:type="gramStart"/>
      <w:r>
        <w:t>enter into</w:t>
      </w:r>
      <w:proofErr w:type="gramEnd"/>
      <w:r>
        <w:t xml:space="preserve"> the resulting contract for the fleet once the procurement has completed and</w:t>
      </w:r>
      <w:r w:rsidR="00713DC7">
        <w:t xml:space="preserve"> </w:t>
      </w:r>
      <w:r w:rsidR="00A3117F">
        <w:t xml:space="preserve">the decision properly notified for the </w:t>
      </w:r>
      <w:r w:rsidR="0054280B">
        <w:t>28-day</w:t>
      </w:r>
      <w:r>
        <w:t xml:space="preserve"> notification </w:t>
      </w:r>
      <w:r w:rsidR="00A3117F">
        <w:t>period on the Forward Plan</w:t>
      </w:r>
      <w:r>
        <w:t xml:space="preserve">. This will avoid further delays by waiting to return to a meeting of full Cabinet. </w:t>
      </w:r>
    </w:p>
    <w:p w14:paraId="6EFB698B" w14:textId="1D1E7ED9" w:rsidR="00C3505D" w:rsidRPr="009231FF" w:rsidRDefault="009231FF" w:rsidP="00C3505D">
      <w:pPr>
        <w:pStyle w:val="bParagraphtext"/>
        <w:numPr>
          <w:ilvl w:val="0"/>
          <w:numId w:val="0"/>
        </w:numPr>
        <w:rPr>
          <w:b/>
          <w:bCs/>
        </w:rPr>
      </w:pPr>
      <w:r w:rsidRPr="009231FF">
        <w:rPr>
          <w:b/>
          <w:bCs/>
        </w:rPr>
        <w:t xml:space="preserve">Next Steps – fleet procurement </w:t>
      </w:r>
    </w:p>
    <w:p w14:paraId="5F23D676" w14:textId="77777777" w:rsidR="009231FF" w:rsidRDefault="009231FF" w:rsidP="009231FF">
      <w:pPr>
        <w:pStyle w:val="ListParagraph"/>
      </w:pPr>
      <w:r>
        <w:t>The fleet vehicles budget is approved within the capital budget provision for the vehicle replacement programme by Council in February each year.  The last approval for this financial year 2024 – 2025 was made in February 2024 in the sum of £3.5million.</w:t>
      </w:r>
    </w:p>
    <w:p w14:paraId="121D9643" w14:textId="29C6DFF2" w:rsidR="009231FF" w:rsidRDefault="009231FF" w:rsidP="009231FF">
      <w:pPr>
        <w:pStyle w:val="ListParagraph"/>
      </w:pPr>
      <w:r>
        <w:t xml:space="preserve">The proposal is to procure the following fleet via two separate contracts: </w:t>
      </w:r>
    </w:p>
    <w:p w14:paraId="70DD7E9C" w14:textId="77777777" w:rsidR="009231FF" w:rsidRPr="009231FF" w:rsidRDefault="009231FF" w:rsidP="009231FF">
      <w:pPr>
        <w:pStyle w:val="ListParagraph"/>
        <w:numPr>
          <w:ilvl w:val="1"/>
          <w:numId w:val="14"/>
        </w:numPr>
        <w:rPr>
          <w:rFonts w:ascii="Times New Roman" w:hAnsi="Times New Roman"/>
          <w:color w:val="auto"/>
        </w:rPr>
      </w:pPr>
      <w:r w:rsidRPr="00252A87">
        <w:t>6 Dennis Eagle Refuse Collection Vehicles (4 Domestic Waste Refuse Collection</w:t>
      </w:r>
      <w:r>
        <w:t xml:space="preserve"> Vehicles (RCV’s) and 2 Trade waste RCV’s) via the Halton Housing/Link Group Fleet Procurement Framework at a cost of up to £1,506,626</w:t>
      </w:r>
    </w:p>
    <w:p w14:paraId="01EF8402" w14:textId="77777777" w:rsidR="009231FF" w:rsidRPr="009231FF" w:rsidRDefault="009231FF" w:rsidP="009231FF">
      <w:pPr>
        <w:pStyle w:val="ListParagraph"/>
        <w:numPr>
          <w:ilvl w:val="1"/>
          <w:numId w:val="14"/>
        </w:numPr>
        <w:rPr>
          <w:rFonts w:ascii="Times New Roman" w:hAnsi="Times New Roman"/>
          <w:color w:val="auto"/>
        </w:rPr>
      </w:pPr>
      <w:r>
        <w:t xml:space="preserve">2 DAF </w:t>
      </w:r>
      <w:proofErr w:type="spellStart"/>
      <w:r>
        <w:t>Terberg</w:t>
      </w:r>
      <w:proofErr w:type="spellEnd"/>
      <w:r>
        <w:t xml:space="preserve"> Split body </w:t>
      </w:r>
      <w:proofErr w:type="spellStart"/>
      <w:r>
        <w:t>Toploaders</w:t>
      </w:r>
      <w:proofErr w:type="spellEnd"/>
      <w:r>
        <w:t xml:space="preserve"> via the Halton Housing/Link Group Fleet Procurement Framework at a cost up to £450,000 </w:t>
      </w:r>
    </w:p>
    <w:p w14:paraId="0AABA9AA" w14:textId="77777777" w:rsidR="00252A87" w:rsidRDefault="00252A87" w:rsidP="00252A87">
      <w:pPr>
        <w:pStyle w:val="ListParagraph"/>
      </w:pPr>
      <w:r>
        <w:t xml:space="preserve">Seven (7) suppliers were appointed to the Halton Housing/Link Group Fleet Procurement Framework when it was established.  All suppliers have a proven ability in the provision of medium and heavy commercial vehicles and between them </w:t>
      </w:r>
      <w:proofErr w:type="gramStart"/>
      <w:r>
        <w:t>are able to</w:t>
      </w:r>
      <w:proofErr w:type="gramEnd"/>
      <w:r>
        <w:t xml:space="preserve"> supply across all regions of the UK.</w:t>
      </w:r>
    </w:p>
    <w:p w14:paraId="7698A437" w14:textId="77777777" w:rsidR="00252A87" w:rsidRDefault="00252A87" w:rsidP="00252A87">
      <w:pPr>
        <w:pStyle w:val="ListParagraph"/>
      </w:pPr>
      <w:r>
        <w:t>The Framework allows contracting authorities such as the Council to select and award to suppliers by carrying out a call-off with competition or direct award.</w:t>
      </w:r>
    </w:p>
    <w:p w14:paraId="58E0BA6E" w14:textId="77777777" w:rsidR="00252A87" w:rsidRDefault="00252A87" w:rsidP="00252A87">
      <w:pPr>
        <w:pStyle w:val="ListParagraph"/>
      </w:pPr>
      <w:r>
        <w:lastRenderedPageBreak/>
        <w:t xml:space="preserve">The ODSL Transport Manager completed a desk top review exercise assessing the suitability of the suppliers for the Oxford region on behalf of the Council.  It is noted that Dennis Eagle, Faun Zoller and CP Davidson are the only suppliers that provide specialist refuse vehicles and that only Dennis Eagle was able to supply top-loading vehicles. It is further noted that Dennis Eagle is the first placed supplier in the lot and that appointing that company as the supplier will also ensure that the provided vehicles are compatible with the existing refuse vehicle fleet and auxiliary equipment used by ODSL. </w:t>
      </w:r>
    </w:p>
    <w:p w14:paraId="4AD14611" w14:textId="4153F70F" w:rsidR="009231FF" w:rsidRDefault="00252A87" w:rsidP="00252A87">
      <w:pPr>
        <w:pStyle w:val="ListParagraph"/>
      </w:pPr>
      <w:r>
        <w:t xml:space="preserve">Dennis Eagle is the only supplier on the framework that </w:t>
      </w:r>
      <w:proofErr w:type="gramStart"/>
      <w:r>
        <w:t>is able to</w:t>
      </w:r>
      <w:proofErr w:type="gramEnd"/>
      <w:r>
        <w:t xml:space="preserve"> supply large volume narrow body vehicles which are required for operational use within Oxford.</w:t>
      </w:r>
    </w:p>
    <w:p w14:paraId="4FFBADAE" w14:textId="5DA82463" w:rsidR="00252A87" w:rsidRPr="00252A87" w:rsidRDefault="00252A87" w:rsidP="00252A87">
      <w:pPr>
        <w:pStyle w:val="ListParagraph"/>
      </w:pPr>
      <w:r>
        <w:t xml:space="preserve">The procurement process under the framework is still in progress therefore delegated authority is sought to enter </w:t>
      </w:r>
      <w:proofErr w:type="gramStart"/>
      <w:r>
        <w:t>in to</w:t>
      </w:r>
      <w:proofErr w:type="gramEnd"/>
      <w:r>
        <w:t xml:space="preserve"> the contracts outlined above once this has been completed and the prices and specifications finalised. </w:t>
      </w:r>
    </w:p>
    <w:p w14:paraId="11CBA5AD" w14:textId="327EF031" w:rsidR="00C3505D" w:rsidRPr="009231FF" w:rsidRDefault="00C3505D" w:rsidP="009231FF">
      <w:pPr>
        <w:rPr>
          <w:rFonts w:ascii="Times New Roman" w:hAnsi="Times New Roman"/>
          <w:color w:val="auto"/>
        </w:rPr>
      </w:pPr>
      <w:r w:rsidRPr="009231FF">
        <w:rPr>
          <w:b/>
          <w:bCs/>
        </w:rPr>
        <w:t xml:space="preserve">Next Steps – Governance assurance </w:t>
      </w:r>
    </w:p>
    <w:p w14:paraId="760D3E10" w14:textId="040E1BEB" w:rsidR="00C3505D" w:rsidRDefault="00914230" w:rsidP="002B6836">
      <w:pPr>
        <w:pStyle w:val="bParagraphtext"/>
      </w:pPr>
      <w:r>
        <w:t xml:space="preserve">Steps were being taken to review and update the governance and governance process of the Council prior to this issue arising. The steps being taken, and which have been added to specifically arising from this issue are as follows: </w:t>
      </w:r>
    </w:p>
    <w:p w14:paraId="54742C1A" w14:textId="77777777" w:rsidR="00914230" w:rsidRDefault="00914230" w:rsidP="00914230">
      <w:pPr>
        <w:pStyle w:val="bParagraphtext"/>
        <w:numPr>
          <w:ilvl w:val="0"/>
          <w:numId w:val="0"/>
        </w:numPr>
        <w:ind w:left="426"/>
      </w:pPr>
    </w:p>
    <w:tbl>
      <w:tblPr>
        <w:tblStyle w:val="TableGrid"/>
        <w:tblW w:w="8817" w:type="dxa"/>
        <w:tblInd w:w="534" w:type="dxa"/>
        <w:tblLook w:val="04A0" w:firstRow="1" w:lastRow="0" w:firstColumn="1" w:lastColumn="0" w:noHBand="0" w:noVBand="1"/>
      </w:tblPr>
      <w:tblGrid>
        <w:gridCol w:w="5698"/>
        <w:gridCol w:w="3119"/>
      </w:tblGrid>
      <w:tr w:rsidR="00914230" w:rsidRPr="00507ECC" w14:paraId="5DD31033" w14:textId="77777777" w:rsidTr="00914230">
        <w:trPr>
          <w:trHeight w:val="380"/>
          <w:tblHeader/>
        </w:trPr>
        <w:tc>
          <w:tcPr>
            <w:tcW w:w="5698" w:type="dxa"/>
          </w:tcPr>
          <w:p w14:paraId="2F105426" w14:textId="4F74BE06" w:rsidR="00914230" w:rsidRPr="00507ECC" w:rsidRDefault="00914230" w:rsidP="00914230">
            <w:pPr>
              <w:rPr>
                <w:b/>
              </w:rPr>
            </w:pPr>
            <w:r>
              <w:rPr>
                <w:b/>
              </w:rPr>
              <w:t xml:space="preserve">Actions </w:t>
            </w:r>
          </w:p>
        </w:tc>
        <w:tc>
          <w:tcPr>
            <w:tcW w:w="3119" w:type="dxa"/>
          </w:tcPr>
          <w:p w14:paraId="20790575" w14:textId="11BA974F" w:rsidR="00914230" w:rsidRPr="00507ECC" w:rsidRDefault="00914230" w:rsidP="00C27BEE">
            <w:pPr>
              <w:rPr>
                <w:b/>
                <w:bCs/>
              </w:rPr>
            </w:pPr>
            <w:r>
              <w:rPr>
                <w:b/>
                <w:bCs/>
              </w:rPr>
              <w:t xml:space="preserve">Status / Target date </w:t>
            </w:r>
          </w:p>
        </w:tc>
      </w:tr>
      <w:tr w:rsidR="00914230" w:rsidRPr="00BF47EE" w14:paraId="12230D39" w14:textId="77777777" w:rsidTr="00914230">
        <w:trPr>
          <w:trHeight w:val="380"/>
        </w:trPr>
        <w:tc>
          <w:tcPr>
            <w:tcW w:w="5698" w:type="dxa"/>
          </w:tcPr>
          <w:p w14:paraId="0521654C" w14:textId="431970FD" w:rsidR="00914230" w:rsidRPr="00507ECC" w:rsidRDefault="00914230" w:rsidP="00C27BEE">
            <w:pPr>
              <w:rPr>
                <w:bCs/>
              </w:rPr>
            </w:pPr>
            <w:r>
              <w:rPr>
                <w:bCs/>
              </w:rPr>
              <w:t xml:space="preserve">Address inconsistency in the definition of Key Decision in the constitution </w:t>
            </w:r>
          </w:p>
        </w:tc>
        <w:tc>
          <w:tcPr>
            <w:tcW w:w="3119" w:type="dxa"/>
          </w:tcPr>
          <w:p w14:paraId="16F9D0FA" w14:textId="77777777" w:rsidR="00914230" w:rsidRDefault="00914230" w:rsidP="00C27BEE">
            <w:r>
              <w:t xml:space="preserve">Done </w:t>
            </w:r>
          </w:p>
          <w:p w14:paraId="6D37D63E" w14:textId="1F97A0A0" w:rsidR="00914230" w:rsidRPr="00BF47EE" w:rsidRDefault="00914230" w:rsidP="00C27BEE">
            <w:r>
              <w:t>November Council</w:t>
            </w:r>
          </w:p>
        </w:tc>
      </w:tr>
      <w:tr w:rsidR="00914230" w:rsidRPr="00BF47EE" w14:paraId="2D24ED4B" w14:textId="77777777" w:rsidTr="00914230">
        <w:trPr>
          <w:trHeight w:val="396"/>
        </w:trPr>
        <w:tc>
          <w:tcPr>
            <w:tcW w:w="5698" w:type="dxa"/>
          </w:tcPr>
          <w:p w14:paraId="65BF118E" w14:textId="53BB736C" w:rsidR="00914230" w:rsidRPr="00507ECC" w:rsidRDefault="00914230" w:rsidP="00C27BEE">
            <w:pPr>
              <w:rPr>
                <w:bCs/>
              </w:rPr>
            </w:pPr>
            <w:r>
              <w:rPr>
                <w:bCs/>
              </w:rPr>
              <w:t xml:space="preserve">Update report templates and guidance for officers </w:t>
            </w:r>
          </w:p>
        </w:tc>
        <w:tc>
          <w:tcPr>
            <w:tcW w:w="3119" w:type="dxa"/>
          </w:tcPr>
          <w:p w14:paraId="3715489B" w14:textId="77777777" w:rsidR="00914230" w:rsidRDefault="00914230" w:rsidP="00C27BEE">
            <w:r>
              <w:t xml:space="preserve">In progress </w:t>
            </w:r>
          </w:p>
          <w:p w14:paraId="6E116A39" w14:textId="156A72FF" w:rsidR="00914230" w:rsidRPr="00BF47EE" w:rsidRDefault="00914230" w:rsidP="00C27BEE">
            <w:r>
              <w:t xml:space="preserve">Complete by end of January 2025 </w:t>
            </w:r>
          </w:p>
        </w:tc>
      </w:tr>
      <w:tr w:rsidR="00914230" w:rsidRPr="00BF47EE" w14:paraId="3881B87A" w14:textId="77777777" w:rsidTr="00914230">
        <w:trPr>
          <w:trHeight w:val="396"/>
        </w:trPr>
        <w:tc>
          <w:tcPr>
            <w:tcW w:w="5698" w:type="dxa"/>
          </w:tcPr>
          <w:p w14:paraId="7CB00EF7" w14:textId="3EDDDA66" w:rsidR="00914230" w:rsidRPr="00507ECC" w:rsidRDefault="00914230" w:rsidP="00C27BEE">
            <w:pPr>
              <w:rPr>
                <w:bCs/>
              </w:rPr>
            </w:pPr>
            <w:r>
              <w:rPr>
                <w:bCs/>
              </w:rPr>
              <w:t xml:space="preserve">Training on decision making of the Council / Cabinet / Officers and key decisions – Legal Services and Committee Services </w:t>
            </w:r>
          </w:p>
        </w:tc>
        <w:tc>
          <w:tcPr>
            <w:tcW w:w="3119" w:type="dxa"/>
          </w:tcPr>
          <w:p w14:paraId="50599D28" w14:textId="77777777" w:rsidR="00914230" w:rsidRDefault="00914230" w:rsidP="00C27BEE">
            <w:r>
              <w:t xml:space="preserve">Delivered </w:t>
            </w:r>
          </w:p>
          <w:p w14:paraId="093B06D4" w14:textId="3033DAB2" w:rsidR="00914230" w:rsidRPr="00BF47EE" w:rsidRDefault="00914230" w:rsidP="00C27BEE">
            <w:r>
              <w:t xml:space="preserve">December 2025 </w:t>
            </w:r>
          </w:p>
        </w:tc>
      </w:tr>
      <w:tr w:rsidR="00914230" w:rsidRPr="00BF47EE" w14:paraId="4A99A4C3" w14:textId="77777777" w:rsidTr="00914230">
        <w:trPr>
          <w:trHeight w:val="396"/>
        </w:trPr>
        <w:tc>
          <w:tcPr>
            <w:tcW w:w="5698" w:type="dxa"/>
          </w:tcPr>
          <w:p w14:paraId="154978DE" w14:textId="2182FB5F" w:rsidR="00914230" w:rsidRDefault="00914230" w:rsidP="00C27BEE">
            <w:pPr>
              <w:rPr>
                <w:bCs/>
              </w:rPr>
            </w:pPr>
            <w:r>
              <w:rPr>
                <w:bCs/>
              </w:rPr>
              <w:t xml:space="preserve">Training on decision making of the Council / Cabinet / Officers and key decisions – Corporate Management Team and Heads of Service  </w:t>
            </w:r>
          </w:p>
        </w:tc>
        <w:tc>
          <w:tcPr>
            <w:tcW w:w="3119" w:type="dxa"/>
          </w:tcPr>
          <w:p w14:paraId="174B89E2" w14:textId="77777777" w:rsidR="00914230" w:rsidRDefault="00914230" w:rsidP="00C27BEE">
            <w:r>
              <w:t xml:space="preserve">Delivered </w:t>
            </w:r>
          </w:p>
          <w:p w14:paraId="3EAE9512" w14:textId="1857C7E0" w:rsidR="00914230" w:rsidRDefault="00914230" w:rsidP="00C27BEE">
            <w:r>
              <w:t xml:space="preserve">December 2025 </w:t>
            </w:r>
          </w:p>
        </w:tc>
      </w:tr>
      <w:tr w:rsidR="00914230" w:rsidRPr="00BF47EE" w14:paraId="79F493B9" w14:textId="77777777" w:rsidTr="00914230">
        <w:trPr>
          <w:trHeight w:val="396"/>
        </w:trPr>
        <w:tc>
          <w:tcPr>
            <w:tcW w:w="5698" w:type="dxa"/>
          </w:tcPr>
          <w:p w14:paraId="180991B4" w14:textId="0DB4EB0C" w:rsidR="00914230" w:rsidRDefault="00914230" w:rsidP="00C27BEE">
            <w:pPr>
              <w:rPr>
                <w:bCs/>
              </w:rPr>
            </w:pPr>
            <w:r>
              <w:rPr>
                <w:bCs/>
              </w:rPr>
              <w:t xml:space="preserve">Training on decision making of the Council / Cabinet / Officers and key decisions – Wider Management </w:t>
            </w:r>
          </w:p>
        </w:tc>
        <w:tc>
          <w:tcPr>
            <w:tcW w:w="3119" w:type="dxa"/>
          </w:tcPr>
          <w:p w14:paraId="4704A570" w14:textId="77777777" w:rsidR="00914230" w:rsidRDefault="00914230" w:rsidP="00C27BEE">
            <w:r>
              <w:t xml:space="preserve">Scheduled </w:t>
            </w:r>
          </w:p>
          <w:p w14:paraId="422754FF" w14:textId="3E4C1698" w:rsidR="00914230" w:rsidRDefault="00914230" w:rsidP="00C27BEE">
            <w:r>
              <w:t xml:space="preserve">January 2025 </w:t>
            </w:r>
          </w:p>
        </w:tc>
      </w:tr>
      <w:tr w:rsidR="00914230" w:rsidRPr="00BF47EE" w14:paraId="735A3396" w14:textId="77777777" w:rsidTr="00914230">
        <w:trPr>
          <w:trHeight w:val="396"/>
        </w:trPr>
        <w:tc>
          <w:tcPr>
            <w:tcW w:w="5698" w:type="dxa"/>
          </w:tcPr>
          <w:p w14:paraId="793BA0DF" w14:textId="288DB6A1" w:rsidR="00914230" w:rsidRDefault="00914230" w:rsidP="00C27BEE">
            <w:pPr>
              <w:rPr>
                <w:bCs/>
              </w:rPr>
            </w:pPr>
            <w:r>
              <w:rPr>
                <w:bCs/>
              </w:rPr>
              <w:t xml:space="preserve">Training on decision making of the Council / Cabinet / Officers and key decisions – all staff </w:t>
            </w:r>
          </w:p>
        </w:tc>
        <w:tc>
          <w:tcPr>
            <w:tcW w:w="3119" w:type="dxa"/>
          </w:tcPr>
          <w:p w14:paraId="3E749158" w14:textId="77777777" w:rsidR="00914230" w:rsidRDefault="00914230" w:rsidP="00C27BEE">
            <w:r>
              <w:t xml:space="preserve">Scheduled </w:t>
            </w:r>
          </w:p>
          <w:p w14:paraId="7F978870" w14:textId="4F843C88" w:rsidR="00914230" w:rsidRDefault="00914230" w:rsidP="00C27BEE">
            <w:r>
              <w:t xml:space="preserve">April 2025 (and earlier date will be secured if possible) </w:t>
            </w:r>
          </w:p>
        </w:tc>
      </w:tr>
      <w:tr w:rsidR="00914230" w:rsidRPr="00BF47EE" w14:paraId="48E216A9" w14:textId="77777777" w:rsidTr="00914230">
        <w:trPr>
          <w:trHeight w:val="396"/>
        </w:trPr>
        <w:tc>
          <w:tcPr>
            <w:tcW w:w="5698" w:type="dxa"/>
          </w:tcPr>
          <w:p w14:paraId="041B89BB" w14:textId="25F639EB" w:rsidR="00914230" w:rsidRDefault="00914230" w:rsidP="00C27BEE">
            <w:pPr>
              <w:rPr>
                <w:bCs/>
              </w:rPr>
            </w:pPr>
            <w:r>
              <w:rPr>
                <w:bCs/>
              </w:rPr>
              <w:t xml:space="preserve">Training of the officers of the Council’s companies </w:t>
            </w:r>
            <w:r w:rsidR="00C93D3F">
              <w:rPr>
                <w:bCs/>
              </w:rPr>
              <w:t xml:space="preserve">and a formal letter and guidance to the Boards setting out the requirements and asking they ensure their organisations follow them </w:t>
            </w:r>
            <w:proofErr w:type="gramStart"/>
            <w:r w:rsidR="00C93D3F">
              <w:rPr>
                <w:bCs/>
              </w:rPr>
              <w:t>where</w:t>
            </w:r>
            <w:proofErr w:type="gramEnd"/>
            <w:r w:rsidR="00C93D3F">
              <w:rPr>
                <w:bCs/>
              </w:rPr>
              <w:t xml:space="preserve"> contracting for the Council. </w:t>
            </w:r>
          </w:p>
        </w:tc>
        <w:tc>
          <w:tcPr>
            <w:tcW w:w="3119" w:type="dxa"/>
          </w:tcPr>
          <w:p w14:paraId="2F7F7CC3" w14:textId="22BD0802" w:rsidR="00914230" w:rsidRDefault="00914230" w:rsidP="00C27BEE">
            <w:r>
              <w:t xml:space="preserve">To be arranged once a Company Secretary is in post for each </w:t>
            </w:r>
          </w:p>
        </w:tc>
      </w:tr>
      <w:tr w:rsidR="00914230" w:rsidRPr="00BF47EE" w14:paraId="294C7675" w14:textId="77777777" w:rsidTr="00914230">
        <w:trPr>
          <w:trHeight w:val="396"/>
        </w:trPr>
        <w:tc>
          <w:tcPr>
            <w:tcW w:w="5698" w:type="dxa"/>
          </w:tcPr>
          <w:p w14:paraId="5908D2E8" w14:textId="7B2D6746" w:rsidR="00914230" w:rsidRDefault="00914230" w:rsidP="00C27BEE">
            <w:pPr>
              <w:rPr>
                <w:bCs/>
              </w:rPr>
            </w:pPr>
            <w:r>
              <w:rPr>
                <w:bCs/>
              </w:rPr>
              <w:t xml:space="preserve">Review of the format and structure of the forward plan – create a delegated decisions forward plan </w:t>
            </w:r>
            <w:r>
              <w:rPr>
                <w:bCs/>
              </w:rPr>
              <w:lastRenderedPageBreak/>
              <w:t>and a meetings forward plan (Cabinet, Council and SHJVG)</w:t>
            </w:r>
          </w:p>
        </w:tc>
        <w:tc>
          <w:tcPr>
            <w:tcW w:w="3119" w:type="dxa"/>
          </w:tcPr>
          <w:p w14:paraId="6AD45B78" w14:textId="77777777" w:rsidR="00914230" w:rsidRDefault="00914230" w:rsidP="00C27BEE">
            <w:r>
              <w:lastRenderedPageBreak/>
              <w:t xml:space="preserve">In progress </w:t>
            </w:r>
          </w:p>
          <w:p w14:paraId="428FFF93" w14:textId="12E09375" w:rsidR="00914230" w:rsidRDefault="00914230" w:rsidP="00C27BEE">
            <w:r>
              <w:lastRenderedPageBreak/>
              <w:t xml:space="preserve">Complete by end of February 2025 </w:t>
            </w:r>
          </w:p>
        </w:tc>
      </w:tr>
      <w:tr w:rsidR="00914230" w:rsidRPr="00BF47EE" w14:paraId="39FB4AB6" w14:textId="77777777" w:rsidTr="00914230">
        <w:trPr>
          <w:trHeight w:val="396"/>
        </w:trPr>
        <w:tc>
          <w:tcPr>
            <w:tcW w:w="5698" w:type="dxa"/>
          </w:tcPr>
          <w:p w14:paraId="5ED47CE0" w14:textId="73DA8090" w:rsidR="00914230" w:rsidRDefault="00914230" w:rsidP="00C27BEE">
            <w:pPr>
              <w:rPr>
                <w:bCs/>
              </w:rPr>
            </w:pPr>
            <w:r>
              <w:rPr>
                <w:bCs/>
              </w:rPr>
              <w:lastRenderedPageBreak/>
              <w:t xml:space="preserve">Review of standing items on the forward plan </w:t>
            </w:r>
          </w:p>
        </w:tc>
        <w:tc>
          <w:tcPr>
            <w:tcW w:w="3119" w:type="dxa"/>
          </w:tcPr>
          <w:p w14:paraId="467F0F23" w14:textId="77777777" w:rsidR="00914230" w:rsidRDefault="00914230" w:rsidP="00C27BEE">
            <w:r>
              <w:t xml:space="preserve">In progress </w:t>
            </w:r>
          </w:p>
          <w:p w14:paraId="18C789B9" w14:textId="22B6DB96" w:rsidR="00914230" w:rsidRDefault="00914230" w:rsidP="00C27BEE">
            <w:r>
              <w:t xml:space="preserve">Complete by end of January 2025 </w:t>
            </w:r>
          </w:p>
        </w:tc>
      </w:tr>
      <w:tr w:rsidR="00914230" w:rsidRPr="00BF47EE" w14:paraId="4DD12DDC" w14:textId="77777777" w:rsidTr="00914230">
        <w:trPr>
          <w:trHeight w:val="396"/>
        </w:trPr>
        <w:tc>
          <w:tcPr>
            <w:tcW w:w="5698" w:type="dxa"/>
          </w:tcPr>
          <w:p w14:paraId="4C215307" w14:textId="50FEB206" w:rsidR="00914230" w:rsidRDefault="00914230" w:rsidP="00C27BEE">
            <w:pPr>
              <w:rPr>
                <w:bCs/>
              </w:rPr>
            </w:pPr>
            <w:r>
              <w:rPr>
                <w:bCs/>
              </w:rPr>
              <w:t xml:space="preserve">Clarification / reorganisation of </w:t>
            </w:r>
            <w:proofErr w:type="spellStart"/>
            <w:r>
              <w:rPr>
                <w:bCs/>
              </w:rPr>
              <w:t>clienting</w:t>
            </w:r>
            <w:proofErr w:type="spellEnd"/>
            <w:r>
              <w:rPr>
                <w:bCs/>
              </w:rPr>
              <w:t xml:space="preserve"> responsibilities within senior management </w:t>
            </w:r>
          </w:p>
        </w:tc>
        <w:tc>
          <w:tcPr>
            <w:tcW w:w="3119" w:type="dxa"/>
          </w:tcPr>
          <w:p w14:paraId="792B703E" w14:textId="77777777" w:rsidR="00914230" w:rsidRPr="00914230" w:rsidRDefault="00914230" w:rsidP="00C27BEE">
            <w:r w:rsidRPr="00914230">
              <w:t xml:space="preserve">Done </w:t>
            </w:r>
          </w:p>
          <w:p w14:paraId="357B1493" w14:textId="3707068C" w:rsidR="00914230" w:rsidRPr="00914230" w:rsidRDefault="00914230" w:rsidP="00C27BEE">
            <w:pPr>
              <w:rPr>
                <w:highlight w:val="yellow"/>
              </w:rPr>
            </w:pPr>
            <w:r w:rsidRPr="00914230">
              <w:t xml:space="preserve">Implement from the 1 February with the Senior Management restructure </w:t>
            </w:r>
          </w:p>
        </w:tc>
      </w:tr>
      <w:tr w:rsidR="00914F23" w:rsidRPr="00BF47EE" w14:paraId="4259A583" w14:textId="77777777" w:rsidTr="00914230">
        <w:trPr>
          <w:trHeight w:val="396"/>
        </w:trPr>
        <w:tc>
          <w:tcPr>
            <w:tcW w:w="5698" w:type="dxa"/>
          </w:tcPr>
          <w:p w14:paraId="1410B419" w14:textId="3204CAEC" w:rsidR="00914F23" w:rsidRDefault="00914F23" w:rsidP="00C27BEE">
            <w:pPr>
              <w:rPr>
                <w:bCs/>
              </w:rPr>
            </w:pPr>
            <w:r>
              <w:rPr>
                <w:bCs/>
              </w:rPr>
              <w:t xml:space="preserve">Review and clarify contract signing responsibilities in the constitutional review </w:t>
            </w:r>
          </w:p>
        </w:tc>
        <w:tc>
          <w:tcPr>
            <w:tcW w:w="3119" w:type="dxa"/>
          </w:tcPr>
          <w:p w14:paraId="5FD9D1FC" w14:textId="05AF7B05" w:rsidR="00914F23" w:rsidRPr="00914230" w:rsidRDefault="00914F23" w:rsidP="00C27BEE">
            <w:r>
              <w:t xml:space="preserve">To be looked at with anticipated approval in Spring 2025. </w:t>
            </w:r>
          </w:p>
        </w:tc>
      </w:tr>
      <w:tr w:rsidR="00914230" w:rsidRPr="00BF47EE" w14:paraId="5CFE3CE9" w14:textId="77777777" w:rsidTr="003A7EFE">
        <w:trPr>
          <w:trHeight w:val="396"/>
        </w:trPr>
        <w:tc>
          <w:tcPr>
            <w:tcW w:w="8817" w:type="dxa"/>
            <w:gridSpan w:val="2"/>
          </w:tcPr>
          <w:p w14:paraId="7C54D1B6" w14:textId="28CAF12D" w:rsidR="00914230" w:rsidRPr="00914230" w:rsidRDefault="00914230" w:rsidP="00C27BEE">
            <w:pPr>
              <w:rPr>
                <w:b/>
                <w:bCs/>
              </w:rPr>
            </w:pPr>
            <w:r>
              <w:rPr>
                <w:b/>
                <w:bCs/>
              </w:rPr>
              <w:t xml:space="preserve">Specific to this issue </w:t>
            </w:r>
          </w:p>
        </w:tc>
      </w:tr>
      <w:tr w:rsidR="00914230" w:rsidRPr="00BF47EE" w14:paraId="0FDFFB51" w14:textId="77777777" w:rsidTr="00914230">
        <w:trPr>
          <w:trHeight w:val="396"/>
        </w:trPr>
        <w:tc>
          <w:tcPr>
            <w:tcW w:w="5698" w:type="dxa"/>
          </w:tcPr>
          <w:p w14:paraId="7840D00B" w14:textId="046934DE" w:rsidR="00914230" w:rsidRDefault="00914230" w:rsidP="00C27BEE">
            <w:pPr>
              <w:rPr>
                <w:bCs/>
              </w:rPr>
            </w:pPr>
            <w:r>
              <w:rPr>
                <w:bCs/>
              </w:rPr>
              <w:t xml:space="preserve">OCC procurement to be involved in ODS procurement of Fleet </w:t>
            </w:r>
          </w:p>
        </w:tc>
        <w:tc>
          <w:tcPr>
            <w:tcW w:w="3119" w:type="dxa"/>
          </w:tcPr>
          <w:p w14:paraId="697A3213" w14:textId="2DABBF26" w:rsidR="00914230" w:rsidRDefault="00914F23" w:rsidP="00C27BEE">
            <w:r>
              <w:t xml:space="preserve">Already in progress </w:t>
            </w:r>
          </w:p>
        </w:tc>
      </w:tr>
      <w:tr w:rsidR="00914230" w:rsidRPr="00BF47EE" w14:paraId="6BF1A402" w14:textId="77777777" w:rsidTr="00914230">
        <w:trPr>
          <w:trHeight w:val="396"/>
        </w:trPr>
        <w:tc>
          <w:tcPr>
            <w:tcW w:w="5698" w:type="dxa"/>
          </w:tcPr>
          <w:p w14:paraId="65F78450" w14:textId="0AE8297F" w:rsidR="00914230" w:rsidRDefault="00914230" w:rsidP="00C27BEE">
            <w:pPr>
              <w:rPr>
                <w:bCs/>
              </w:rPr>
            </w:pPr>
            <w:r>
              <w:rPr>
                <w:bCs/>
              </w:rPr>
              <w:t xml:space="preserve">ODS to develop and maintain a rolling fleet management / replacement programme </w:t>
            </w:r>
          </w:p>
        </w:tc>
        <w:tc>
          <w:tcPr>
            <w:tcW w:w="3119" w:type="dxa"/>
          </w:tcPr>
          <w:p w14:paraId="639BD2C4" w14:textId="4CE67660" w:rsidR="00914F23" w:rsidRDefault="00914F23" w:rsidP="00C27BEE">
            <w:r>
              <w:t>In progress</w:t>
            </w:r>
          </w:p>
        </w:tc>
      </w:tr>
      <w:tr w:rsidR="00914230" w:rsidRPr="00BF47EE" w14:paraId="18B46C84" w14:textId="77777777" w:rsidTr="00914230">
        <w:trPr>
          <w:trHeight w:val="396"/>
        </w:trPr>
        <w:tc>
          <w:tcPr>
            <w:tcW w:w="5698" w:type="dxa"/>
          </w:tcPr>
          <w:p w14:paraId="2F79A99F" w14:textId="066F6301" w:rsidR="00914230" w:rsidRDefault="00914F23" w:rsidP="00C27BEE">
            <w:pPr>
              <w:rPr>
                <w:bCs/>
              </w:rPr>
            </w:pPr>
            <w:r>
              <w:rPr>
                <w:bCs/>
              </w:rPr>
              <w:t xml:space="preserve">Responsibility for the </w:t>
            </w:r>
            <w:proofErr w:type="spellStart"/>
            <w:r>
              <w:rPr>
                <w:bCs/>
              </w:rPr>
              <w:t>clienting</w:t>
            </w:r>
            <w:proofErr w:type="spellEnd"/>
            <w:r>
              <w:rPr>
                <w:bCs/>
              </w:rPr>
              <w:t xml:space="preserve"> of Fleet to sit centrally with the newly appointed </w:t>
            </w:r>
            <w:proofErr w:type="spellStart"/>
            <w:r w:rsidRPr="002C3416">
              <w:rPr>
                <w:bCs/>
              </w:rPr>
              <w:t>Clienting</w:t>
            </w:r>
            <w:proofErr w:type="spellEnd"/>
            <w:r w:rsidRPr="002C3416">
              <w:rPr>
                <w:bCs/>
              </w:rPr>
              <w:t xml:space="preserve"> Manager</w:t>
            </w:r>
          </w:p>
        </w:tc>
        <w:tc>
          <w:tcPr>
            <w:tcW w:w="3119" w:type="dxa"/>
          </w:tcPr>
          <w:p w14:paraId="696D1466" w14:textId="02BE5B41" w:rsidR="00914230" w:rsidRDefault="002C3416" w:rsidP="00C27BEE">
            <w:r>
              <w:t>New post holder started January 2025</w:t>
            </w:r>
          </w:p>
        </w:tc>
      </w:tr>
    </w:tbl>
    <w:p w14:paraId="54F4DB48" w14:textId="77777777" w:rsidR="00914230" w:rsidRPr="002B6836" w:rsidRDefault="00914230" w:rsidP="0054280B">
      <w:pPr>
        <w:pStyle w:val="bParagraphtext"/>
        <w:numPr>
          <w:ilvl w:val="0"/>
          <w:numId w:val="0"/>
        </w:numPr>
      </w:pPr>
    </w:p>
    <w:p w14:paraId="6081A9ED" w14:textId="77777777" w:rsidR="00E87F7A" w:rsidRPr="001356F1" w:rsidRDefault="00E87F7A" w:rsidP="002B6836">
      <w:pPr>
        <w:pStyle w:val="Heading1"/>
      </w:pPr>
      <w:r w:rsidRPr="001356F1">
        <w:t xml:space="preserve">Other implications </w:t>
      </w:r>
    </w:p>
    <w:p w14:paraId="33377F80" w14:textId="0C15B5B4" w:rsidR="00C076B9" w:rsidRPr="001356F1" w:rsidRDefault="0054280B" w:rsidP="0054280B">
      <w:pPr>
        <w:pStyle w:val="ListParagraph"/>
      </w:pPr>
      <w:r>
        <w:t xml:space="preserve">There are no other implications arising directly from the recommendations. </w:t>
      </w:r>
    </w:p>
    <w:p w14:paraId="4A4AE022" w14:textId="77777777" w:rsidR="0040736F" w:rsidRPr="002B6836" w:rsidRDefault="002329CF" w:rsidP="002B6836">
      <w:pPr>
        <w:pStyle w:val="Heading1"/>
      </w:pPr>
      <w:r w:rsidRPr="002B6836">
        <w:t>Financial implications</w:t>
      </w:r>
    </w:p>
    <w:p w14:paraId="35855916" w14:textId="6CD08823" w:rsidR="00E87F7A" w:rsidRDefault="00E767AC" w:rsidP="005570B5">
      <w:pPr>
        <w:pStyle w:val="ListParagraph"/>
      </w:pPr>
      <w:r>
        <w:t xml:space="preserve">The delay in procurement of the vehicles </w:t>
      </w:r>
      <w:r w:rsidR="00644F45">
        <w:t xml:space="preserve">increases the risk of </w:t>
      </w:r>
      <w:r>
        <w:t>additional costs to ODS should they need to</w:t>
      </w:r>
      <w:r w:rsidR="00F36C21">
        <w:t xml:space="preserve"> hire replacement vehicles </w:t>
      </w:r>
      <w:r w:rsidR="00644F45">
        <w:t xml:space="preserve">before the replacement of </w:t>
      </w:r>
      <w:proofErr w:type="gramStart"/>
      <w:r w:rsidR="00644F45">
        <w:t xml:space="preserve">the </w:t>
      </w:r>
      <w:r w:rsidR="00F36C21">
        <w:t xml:space="preserve"> ageing</w:t>
      </w:r>
      <w:proofErr w:type="gramEnd"/>
      <w:r w:rsidR="00F36C21">
        <w:t xml:space="preserve"> fleet. </w:t>
      </w:r>
      <w:r w:rsidR="00C25E21">
        <w:t>As</w:t>
      </w:r>
      <w:r w:rsidR="000C5683">
        <w:t xml:space="preserve"> </w:t>
      </w:r>
      <w:r w:rsidR="00C25E21">
        <w:t>set out above, a</w:t>
      </w:r>
      <w:r w:rsidR="00644F45">
        <w:t xml:space="preserve">ll efforts will be made to </w:t>
      </w:r>
      <w:r w:rsidR="00C25E21">
        <w:t>mitigate this risk.</w:t>
      </w:r>
      <w:r w:rsidR="00644F45">
        <w:t xml:space="preserve"> </w:t>
      </w:r>
      <w:r w:rsidR="00F36C21">
        <w:t xml:space="preserve"> </w:t>
      </w:r>
    </w:p>
    <w:p w14:paraId="3D72797D" w14:textId="3517A0E8" w:rsidR="00252A87" w:rsidRPr="001356F1" w:rsidRDefault="00252A87" w:rsidP="005570B5">
      <w:pPr>
        <w:pStyle w:val="ListParagraph"/>
      </w:pPr>
      <w:r>
        <w:t xml:space="preserve">  The budget for the replacement of refuse collection fleet vehicles together with the leasing repayments are included within the Council’s revenue and capital programmes. ODSL will be responsible for the leasing payments to the Council as well </w:t>
      </w:r>
      <w:proofErr w:type="gramStart"/>
      <w:r>
        <w:t>as  the</w:t>
      </w:r>
      <w:proofErr w:type="gramEnd"/>
      <w:r>
        <w:t xml:space="preserve"> running costs in relation to the vehicles</w:t>
      </w:r>
    </w:p>
    <w:p w14:paraId="57B76793" w14:textId="77777777" w:rsidR="0040736F" w:rsidRPr="001356F1" w:rsidRDefault="00DA614B" w:rsidP="004A6D2F">
      <w:pPr>
        <w:pStyle w:val="Heading1"/>
      </w:pPr>
      <w:r w:rsidRPr="001356F1">
        <w:t>Legal issues</w:t>
      </w:r>
    </w:p>
    <w:p w14:paraId="320D504A" w14:textId="72F197C7" w:rsidR="00E87F7A" w:rsidRDefault="0054280B" w:rsidP="002B6836">
      <w:pPr>
        <w:pStyle w:val="bParagraphtext"/>
      </w:pPr>
      <w:r>
        <w:t>These are covered within the body of the report</w:t>
      </w:r>
      <w:r w:rsidR="008954DF">
        <w:t>.</w:t>
      </w:r>
    </w:p>
    <w:p w14:paraId="50F3C71D" w14:textId="5B58D181" w:rsidR="00252A87" w:rsidRPr="001356F1" w:rsidRDefault="00252A87" w:rsidP="00252A87">
      <w:pPr>
        <w:pStyle w:val="ListParagraph"/>
      </w:pPr>
      <w:r>
        <w:t>The Framework Terms and Conditions, which allow the Council to call off from will apply to both contracts to purchase.</w:t>
      </w:r>
    </w:p>
    <w:p w14:paraId="43CDF136" w14:textId="77777777" w:rsidR="002329CF" w:rsidRPr="001356F1" w:rsidRDefault="002329CF" w:rsidP="004A6D2F">
      <w:pPr>
        <w:pStyle w:val="Heading1"/>
      </w:pPr>
      <w:r w:rsidRPr="001356F1">
        <w:t>Level of risk</w:t>
      </w:r>
    </w:p>
    <w:p w14:paraId="70AFB243" w14:textId="10C5E62C" w:rsidR="00252A87" w:rsidRDefault="00252A87" w:rsidP="00252A87">
      <w:pPr>
        <w:pStyle w:val="ListParagraph"/>
      </w:pPr>
      <w:r>
        <w:t>To not replace life expired vehicles will impact on the ability of ODSL to deliver effective waste collection services.</w:t>
      </w:r>
    </w:p>
    <w:p w14:paraId="1F56A496" w14:textId="77777777" w:rsidR="00252A87" w:rsidRDefault="00252A87" w:rsidP="00252A87">
      <w:pPr>
        <w:pStyle w:val="ListParagraph"/>
        <w:numPr>
          <w:ilvl w:val="0"/>
          <w:numId w:val="34"/>
        </w:numPr>
      </w:pPr>
      <w:r>
        <w:lastRenderedPageBreak/>
        <w:t>The market for narrow body specialist refuse collection vehicles is very limited.</w:t>
      </w:r>
    </w:p>
    <w:p w14:paraId="59F4C5DD" w14:textId="77777777" w:rsidR="00252A87" w:rsidRDefault="00252A87" w:rsidP="00252A87">
      <w:pPr>
        <w:pStyle w:val="ListParagraph"/>
        <w:numPr>
          <w:ilvl w:val="0"/>
          <w:numId w:val="34"/>
        </w:numPr>
      </w:pPr>
      <w:r>
        <w:t>The lead time for delivery of the vehicles is circa 8 months.</w:t>
      </w:r>
    </w:p>
    <w:p w14:paraId="253313C3" w14:textId="77777777" w:rsidR="002329CF" w:rsidRPr="001356F1" w:rsidRDefault="002329CF" w:rsidP="0050321C">
      <w:pPr>
        <w:pStyle w:val="Heading1"/>
      </w:pPr>
      <w:r w:rsidRPr="001356F1">
        <w:t xml:space="preserve">Equalities impact </w:t>
      </w:r>
    </w:p>
    <w:p w14:paraId="3389ED3E" w14:textId="7B807345" w:rsidR="00FB3B71" w:rsidRDefault="0054280B" w:rsidP="002B0329">
      <w:pPr>
        <w:pStyle w:val="bParagraphtext"/>
        <w:numPr>
          <w:ilvl w:val="0"/>
          <w:numId w:val="0"/>
        </w:numPr>
      </w:pPr>
      <w:r>
        <w:t>Not applicable</w:t>
      </w:r>
      <w:r w:rsidR="00E87F7A" w:rsidRPr="001356F1">
        <w:t>.</w:t>
      </w:r>
    </w:p>
    <w:p w14:paraId="1F6AA356" w14:textId="77777777" w:rsidR="00E206D6" w:rsidRPr="001356F1" w:rsidRDefault="00E206D6" w:rsidP="00E206D6">
      <w:pPr>
        <w:pStyle w:val="ListParagraph"/>
        <w:numPr>
          <w:ilvl w:val="0"/>
          <w:numId w:val="0"/>
        </w:numPr>
        <w:ind w:left="426"/>
      </w:pPr>
    </w:p>
    <w:p w14:paraId="5908E89E" w14:textId="77777777" w:rsidR="002329CF" w:rsidRPr="001356F1" w:rsidRDefault="002329CF" w:rsidP="004A6D2F"/>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1356F1" w14:paraId="42BD78FD" w14:textId="77777777" w:rsidTr="00A46E98">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45D0CF16" w14:textId="77777777" w:rsidR="00E87F7A" w:rsidRPr="001356F1" w:rsidRDefault="00E87F7A" w:rsidP="00A46E98">
            <w:pPr>
              <w:rPr>
                <w:b/>
              </w:rPr>
            </w:pPr>
            <w:r w:rsidRPr="001356F1">
              <w:rPr>
                <w:b/>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76A56916" w14:textId="04743206" w:rsidR="00E87F7A" w:rsidRPr="001356F1" w:rsidRDefault="0054280B" w:rsidP="00A46E98">
            <w:r>
              <w:t>Emma Jackman</w:t>
            </w:r>
          </w:p>
        </w:tc>
      </w:tr>
      <w:tr w:rsidR="00DF093E" w:rsidRPr="001356F1" w14:paraId="0DCC80B5" w14:textId="77777777" w:rsidTr="00A46E98">
        <w:trPr>
          <w:cantSplit/>
          <w:trHeight w:val="396"/>
        </w:trPr>
        <w:tc>
          <w:tcPr>
            <w:tcW w:w="3969" w:type="dxa"/>
            <w:tcBorders>
              <w:top w:val="single" w:sz="8" w:space="0" w:color="000000"/>
              <w:left w:val="single" w:sz="8" w:space="0" w:color="000000"/>
              <w:bottom w:val="nil"/>
              <w:right w:val="nil"/>
            </w:tcBorders>
            <w:shd w:val="clear" w:color="auto" w:fill="auto"/>
          </w:tcPr>
          <w:p w14:paraId="79D74F75" w14:textId="77777777" w:rsidR="00E87F7A" w:rsidRPr="001356F1" w:rsidRDefault="00E87F7A" w:rsidP="00A46E98">
            <w:r w:rsidRPr="001356F1">
              <w:t>Job title</w:t>
            </w:r>
          </w:p>
        </w:tc>
        <w:tc>
          <w:tcPr>
            <w:tcW w:w="4962" w:type="dxa"/>
            <w:tcBorders>
              <w:top w:val="single" w:sz="8" w:space="0" w:color="000000"/>
              <w:left w:val="nil"/>
              <w:bottom w:val="nil"/>
              <w:right w:val="single" w:sz="8" w:space="0" w:color="000000"/>
            </w:tcBorders>
            <w:shd w:val="clear" w:color="auto" w:fill="auto"/>
          </w:tcPr>
          <w:p w14:paraId="54103BA1" w14:textId="42C3A7F5" w:rsidR="00E87F7A" w:rsidRPr="001356F1" w:rsidRDefault="0054280B" w:rsidP="00A46E98">
            <w:r>
              <w:t xml:space="preserve">Head of Law &amp; Governance (Monitoring Officer) </w:t>
            </w:r>
          </w:p>
        </w:tc>
      </w:tr>
      <w:tr w:rsidR="00DF093E" w:rsidRPr="001356F1" w14:paraId="12B2A995" w14:textId="77777777" w:rsidTr="00A46E98">
        <w:trPr>
          <w:cantSplit/>
          <w:trHeight w:val="396"/>
        </w:trPr>
        <w:tc>
          <w:tcPr>
            <w:tcW w:w="3969" w:type="dxa"/>
            <w:tcBorders>
              <w:top w:val="nil"/>
              <w:left w:val="single" w:sz="8" w:space="0" w:color="000000"/>
              <w:bottom w:val="nil"/>
              <w:right w:val="nil"/>
            </w:tcBorders>
            <w:shd w:val="clear" w:color="auto" w:fill="auto"/>
          </w:tcPr>
          <w:p w14:paraId="797264D6" w14:textId="77777777" w:rsidR="00E87F7A" w:rsidRPr="001356F1" w:rsidRDefault="00E87F7A" w:rsidP="00A46E98">
            <w:r w:rsidRPr="001356F1">
              <w:t>Service area or department</w:t>
            </w:r>
          </w:p>
        </w:tc>
        <w:tc>
          <w:tcPr>
            <w:tcW w:w="4962" w:type="dxa"/>
            <w:tcBorders>
              <w:top w:val="nil"/>
              <w:left w:val="nil"/>
              <w:bottom w:val="nil"/>
              <w:right w:val="single" w:sz="8" w:space="0" w:color="000000"/>
            </w:tcBorders>
            <w:shd w:val="clear" w:color="auto" w:fill="auto"/>
          </w:tcPr>
          <w:p w14:paraId="349351B7" w14:textId="74DD6D36" w:rsidR="00E87F7A" w:rsidRPr="001356F1" w:rsidRDefault="0054280B" w:rsidP="00A46E98">
            <w:r>
              <w:t xml:space="preserve">Law &amp; Governance </w:t>
            </w:r>
          </w:p>
        </w:tc>
      </w:tr>
      <w:tr w:rsidR="005570B5" w:rsidRPr="001356F1" w14:paraId="3555E761" w14:textId="77777777" w:rsidTr="00A46E98">
        <w:trPr>
          <w:cantSplit/>
          <w:trHeight w:val="396"/>
        </w:trPr>
        <w:tc>
          <w:tcPr>
            <w:tcW w:w="3969" w:type="dxa"/>
            <w:tcBorders>
              <w:top w:val="nil"/>
              <w:left w:val="single" w:sz="8" w:space="0" w:color="000000"/>
              <w:bottom w:val="single" w:sz="8" w:space="0" w:color="000000"/>
              <w:right w:val="nil"/>
            </w:tcBorders>
            <w:shd w:val="clear" w:color="auto" w:fill="auto"/>
          </w:tcPr>
          <w:p w14:paraId="2FF4348C" w14:textId="77777777" w:rsidR="00E87F7A" w:rsidRPr="001356F1" w:rsidRDefault="00E87F7A" w:rsidP="00A46E98">
            <w:r w:rsidRPr="001356F1">
              <w:t xml:space="preserve">e-mail </w:t>
            </w:r>
          </w:p>
        </w:tc>
        <w:tc>
          <w:tcPr>
            <w:tcW w:w="4962" w:type="dxa"/>
            <w:tcBorders>
              <w:top w:val="nil"/>
              <w:left w:val="nil"/>
              <w:bottom w:val="single" w:sz="8" w:space="0" w:color="000000"/>
              <w:right w:val="single" w:sz="8" w:space="0" w:color="000000"/>
            </w:tcBorders>
            <w:shd w:val="clear" w:color="auto" w:fill="auto"/>
          </w:tcPr>
          <w:p w14:paraId="46909FF9" w14:textId="025228D1" w:rsidR="00E87F7A" w:rsidRPr="001356F1" w:rsidRDefault="0054280B" w:rsidP="00A46E98">
            <w:pPr>
              <w:rPr>
                <w:rStyle w:val="Hyperlink"/>
                <w:color w:val="000000"/>
              </w:rPr>
            </w:pPr>
            <w:r>
              <w:rPr>
                <w:rStyle w:val="Hyperlink"/>
                <w:color w:val="000000"/>
              </w:rPr>
              <w:t>ejackman@oxford.gov.uk</w:t>
            </w:r>
          </w:p>
        </w:tc>
      </w:tr>
    </w:tbl>
    <w:p w14:paraId="3B9A3880" w14:textId="77777777" w:rsidR="00433B96" w:rsidRPr="001356F1" w:rsidRDefault="00433B96"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64"/>
      </w:tblGrid>
      <w:tr w:rsidR="00DF093E" w:rsidRPr="001356F1" w14:paraId="23557E11" w14:textId="77777777" w:rsidTr="00A46E98">
        <w:tc>
          <w:tcPr>
            <w:tcW w:w="8931" w:type="dxa"/>
            <w:gridSpan w:val="2"/>
            <w:tcBorders>
              <w:top w:val="single" w:sz="4" w:space="0" w:color="auto"/>
              <w:left w:val="single" w:sz="4" w:space="0" w:color="auto"/>
              <w:bottom w:val="single" w:sz="8" w:space="0" w:color="000000"/>
              <w:right w:val="single" w:sz="4" w:space="0" w:color="auto"/>
            </w:tcBorders>
            <w:shd w:val="clear" w:color="auto" w:fill="auto"/>
          </w:tcPr>
          <w:p w14:paraId="26764C2F" w14:textId="77777777" w:rsidR="0093067A" w:rsidRPr="001356F1" w:rsidRDefault="00182B81" w:rsidP="00F41AC1">
            <w:r w:rsidRPr="001356F1">
              <w:rPr>
                <w:rStyle w:val="Firstpagetablebold"/>
              </w:rPr>
              <w:t xml:space="preserve">Background Papers: </w:t>
            </w:r>
            <w:r w:rsidRPr="001356F1">
              <w:rPr>
                <w:rStyle w:val="Firstpagetablebold"/>
                <w:b w:val="0"/>
              </w:rPr>
              <w:t>None</w:t>
            </w:r>
          </w:p>
        </w:tc>
      </w:tr>
      <w:tr w:rsidR="00DF093E" w:rsidRPr="001356F1" w14:paraId="0F19A878" w14:textId="77777777" w:rsidTr="00A46E98">
        <w:tc>
          <w:tcPr>
            <w:tcW w:w="567" w:type="dxa"/>
            <w:tcBorders>
              <w:top w:val="single" w:sz="8" w:space="0" w:color="000000"/>
              <w:left w:val="single" w:sz="8" w:space="0" w:color="000000"/>
              <w:bottom w:val="nil"/>
              <w:right w:val="nil"/>
            </w:tcBorders>
            <w:shd w:val="clear" w:color="auto" w:fill="auto"/>
          </w:tcPr>
          <w:p w14:paraId="21D22799" w14:textId="77777777" w:rsidR="0093067A" w:rsidRPr="001356F1" w:rsidRDefault="00182B81" w:rsidP="00F41AC1">
            <w:r w:rsidRPr="001356F1">
              <w:t>1</w:t>
            </w:r>
          </w:p>
        </w:tc>
        <w:tc>
          <w:tcPr>
            <w:tcW w:w="8364" w:type="dxa"/>
            <w:tcBorders>
              <w:top w:val="single" w:sz="8" w:space="0" w:color="000000"/>
              <w:left w:val="nil"/>
              <w:bottom w:val="nil"/>
              <w:right w:val="single" w:sz="8" w:space="0" w:color="000000"/>
            </w:tcBorders>
          </w:tcPr>
          <w:p w14:paraId="1645CEC2" w14:textId="46D1F3BD" w:rsidR="0093067A" w:rsidRPr="001356F1" w:rsidRDefault="0054280B" w:rsidP="005D0621">
            <w:r w:rsidRPr="00F64024">
              <w:rPr>
                <w:rFonts w:cs="Arial"/>
                <w:color w:val="1E1E1E"/>
              </w:rPr>
              <w:t>Local Authorities (Executive Arrangements) (Meetings and Access to Information) (England) Regulations 2012</w:t>
            </w:r>
            <w:r>
              <w:rPr>
                <w:rFonts w:cs="Arial"/>
                <w:color w:val="1E1E1E"/>
              </w:rPr>
              <w:t xml:space="preserve"> (“the Regs”)</w:t>
            </w:r>
          </w:p>
        </w:tc>
      </w:tr>
      <w:tr w:rsidR="0054280B" w:rsidRPr="001356F1" w14:paraId="4468393A" w14:textId="77777777" w:rsidTr="0054280B">
        <w:trPr>
          <w:trHeight w:val="478"/>
        </w:trPr>
        <w:tc>
          <w:tcPr>
            <w:tcW w:w="567" w:type="dxa"/>
            <w:tcBorders>
              <w:top w:val="nil"/>
              <w:left w:val="single" w:sz="8" w:space="0" w:color="000000"/>
              <w:right w:val="nil"/>
            </w:tcBorders>
            <w:shd w:val="clear" w:color="auto" w:fill="auto"/>
          </w:tcPr>
          <w:p w14:paraId="6660BBB7" w14:textId="16EC7883" w:rsidR="0054280B" w:rsidRPr="001356F1" w:rsidRDefault="0054280B" w:rsidP="00F41AC1">
            <w:r w:rsidRPr="001356F1">
              <w:t>2</w:t>
            </w:r>
          </w:p>
        </w:tc>
        <w:tc>
          <w:tcPr>
            <w:tcW w:w="8364" w:type="dxa"/>
            <w:tcBorders>
              <w:top w:val="nil"/>
              <w:left w:val="nil"/>
              <w:right w:val="single" w:sz="8" w:space="0" w:color="000000"/>
            </w:tcBorders>
          </w:tcPr>
          <w:p w14:paraId="280E3732" w14:textId="5DEB982F" w:rsidR="0054280B" w:rsidRPr="001356F1" w:rsidRDefault="0054280B" w:rsidP="00F41AC1">
            <w:r>
              <w:t xml:space="preserve">Council’s Constitution </w:t>
            </w:r>
          </w:p>
        </w:tc>
      </w:tr>
    </w:tbl>
    <w:p w14:paraId="3C9C5EBB" w14:textId="77777777" w:rsidR="004456DD" w:rsidRPr="009E51FC" w:rsidRDefault="004456DD" w:rsidP="0093067A"/>
    <w:sectPr w:rsidR="004456DD" w:rsidRPr="009E51FC" w:rsidSect="002B6836">
      <w:footerReference w:type="even" r:id="rId8"/>
      <w:headerReference w:type="first" r:id="rId9"/>
      <w:pgSz w:w="11906" w:h="16838" w:code="9"/>
      <w:pgMar w:top="1418" w:right="1304" w:bottom="1304"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E47C3" w14:textId="77777777" w:rsidR="00713266" w:rsidRDefault="00713266" w:rsidP="004A6D2F">
      <w:r>
        <w:separator/>
      </w:r>
    </w:p>
  </w:endnote>
  <w:endnote w:type="continuationSeparator" w:id="0">
    <w:p w14:paraId="5A021D62" w14:textId="77777777" w:rsidR="00713266" w:rsidRDefault="00713266"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0DC5" w14:textId="77777777" w:rsidR="00364FAD" w:rsidRDefault="00364FAD" w:rsidP="004A6D2F">
    <w:pPr>
      <w:pStyle w:val="Footer"/>
    </w:pPr>
    <w:r>
      <w:t>Do not use a footer or page numbers.</w:t>
    </w:r>
  </w:p>
  <w:p w14:paraId="07D22E4A" w14:textId="77777777" w:rsidR="00364FAD" w:rsidRDefault="00364FAD" w:rsidP="004A6D2F">
    <w:pPr>
      <w:pStyle w:val="Footer"/>
    </w:pPr>
  </w:p>
  <w:p w14:paraId="254679B1" w14:textId="77777777" w:rsidR="00364FAD" w:rsidRDefault="00364FAD" w:rsidP="004A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25CDE" w14:textId="77777777" w:rsidR="00713266" w:rsidRDefault="00713266" w:rsidP="004A6D2F">
      <w:r>
        <w:separator/>
      </w:r>
    </w:p>
  </w:footnote>
  <w:footnote w:type="continuationSeparator" w:id="0">
    <w:p w14:paraId="0DCB7815" w14:textId="77777777" w:rsidR="00713266" w:rsidRDefault="00713266" w:rsidP="004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70D6" w14:textId="77777777" w:rsidR="00D5547E" w:rsidRDefault="00C05260" w:rsidP="00D5547E">
    <w:pPr>
      <w:pStyle w:val="Header"/>
      <w:jc w:val="right"/>
    </w:pPr>
    <w:r>
      <w:rPr>
        <w:noProof/>
      </w:rPr>
      <w:drawing>
        <wp:inline distT="0" distB="0" distL="0" distR="0" wp14:anchorId="14DF1782" wp14:editId="4D95838F">
          <wp:extent cx="838200" cy="1119505"/>
          <wp:effectExtent l="0" t="0" r="0" b="4445"/>
          <wp:docPr id="1" name="Picture 1"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119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E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70EF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B46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A3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347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0603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C253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CAEA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88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E431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49C05EF"/>
    <w:multiLevelType w:val="multilevel"/>
    <w:tmpl w:val="43D6D2FA"/>
    <w:numStyleLink w:val="StyleBulletedSymbolsymbolLeft063cmHanging063cm"/>
  </w:abstractNum>
  <w:abstractNum w:abstractNumId="13" w15:restartNumberingAfterBreak="0">
    <w:nsid w:val="092922A7"/>
    <w:multiLevelType w:val="hybridMultilevel"/>
    <w:tmpl w:val="2B26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A731236"/>
    <w:multiLevelType w:val="multilevel"/>
    <w:tmpl w:val="1700ACF6"/>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FE3CBC"/>
    <w:multiLevelType w:val="hybridMultilevel"/>
    <w:tmpl w:val="8BD0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2263A6A"/>
    <w:multiLevelType w:val="multilevel"/>
    <w:tmpl w:val="43D6D2FA"/>
    <w:numStyleLink w:val="StyleBulletedSymbolsymbolLeft063cmHanging063cm"/>
  </w:abstractNum>
  <w:abstractNum w:abstractNumId="18" w15:restartNumberingAfterBreak="0">
    <w:nsid w:val="2C0A3AC3"/>
    <w:multiLevelType w:val="hybridMultilevel"/>
    <w:tmpl w:val="2B326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0B4923"/>
    <w:multiLevelType w:val="hybridMultilevel"/>
    <w:tmpl w:val="2D883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343E22"/>
    <w:multiLevelType w:val="hybridMultilevel"/>
    <w:tmpl w:val="3E3ABABA"/>
    <w:lvl w:ilvl="0" w:tplc="081A0C3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37F1004"/>
    <w:multiLevelType w:val="hybridMultilevel"/>
    <w:tmpl w:val="4E02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12530E"/>
    <w:multiLevelType w:val="hybridMultilevel"/>
    <w:tmpl w:val="CEECF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6764EAF"/>
    <w:multiLevelType w:val="hybridMultilevel"/>
    <w:tmpl w:val="AB625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8F2C59"/>
    <w:multiLevelType w:val="hybridMultilevel"/>
    <w:tmpl w:val="396C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565907"/>
    <w:multiLevelType w:val="hybridMultilevel"/>
    <w:tmpl w:val="5594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BA5FD8"/>
    <w:multiLevelType w:val="multilevel"/>
    <w:tmpl w:val="43D6D2FA"/>
    <w:numStyleLink w:val="StyleBulletedSymbolsymbolLeft063cmHanging063cm"/>
  </w:abstractNum>
  <w:abstractNum w:abstractNumId="27" w15:restartNumberingAfterBreak="0">
    <w:nsid w:val="5C7E19E2"/>
    <w:multiLevelType w:val="hybridMultilevel"/>
    <w:tmpl w:val="3146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A22831"/>
    <w:multiLevelType w:val="multilevel"/>
    <w:tmpl w:val="43D6D2FA"/>
    <w:numStyleLink w:val="StyleBulletedSymbolsymbolLeft063cmHanging063cm"/>
  </w:abstractNum>
  <w:abstractNum w:abstractNumId="29"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B1550E4"/>
    <w:multiLevelType w:val="hybridMultilevel"/>
    <w:tmpl w:val="DD86F5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D16223"/>
    <w:multiLevelType w:val="hybridMultilevel"/>
    <w:tmpl w:val="E67CE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98365C6"/>
    <w:multiLevelType w:val="multilevel"/>
    <w:tmpl w:val="E67CE66C"/>
    <w:numStyleLink w:val="StyleNumberedLeft0cmHanging075cm"/>
  </w:abstractNum>
  <w:num w:numId="1" w16cid:durableId="1072582448">
    <w:abstractNumId w:val="25"/>
  </w:num>
  <w:num w:numId="2" w16cid:durableId="76437601">
    <w:abstractNumId w:val="30"/>
  </w:num>
  <w:num w:numId="3" w16cid:durableId="1857309021">
    <w:abstractNumId w:val="22"/>
  </w:num>
  <w:num w:numId="4" w16cid:durableId="1926259516">
    <w:abstractNumId w:val="18"/>
  </w:num>
  <w:num w:numId="5" w16cid:durableId="1151483305">
    <w:abstractNumId w:val="27"/>
  </w:num>
  <w:num w:numId="6" w16cid:durableId="1145009173">
    <w:abstractNumId w:val="31"/>
  </w:num>
  <w:num w:numId="7" w16cid:durableId="18632793">
    <w:abstractNumId w:val="21"/>
  </w:num>
  <w:num w:numId="8" w16cid:durableId="819687462">
    <w:abstractNumId w:val="19"/>
  </w:num>
  <w:num w:numId="9" w16cid:durableId="1150829707">
    <w:abstractNumId w:val="13"/>
  </w:num>
  <w:num w:numId="10" w16cid:durableId="2008316839">
    <w:abstractNumId w:val="15"/>
  </w:num>
  <w:num w:numId="11" w16cid:durableId="982662740">
    <w:abstractNumId w:val="24"/>
  </w:num>
  <w:num w:numId="12" w16cid:durableId="496186798">
    <w:abstractNumId w:val="23"/>
  </w:num>
  <w:num w:numId="13" w16cid:durableId="860359922">
    <w:abstractNumId w:val="10"/>
  </w:num>
  <w:num w:numId="14" w16cid:durableId="1803225872">
    <w:abstractNumId w:val="32"/>
  </w:num>
  <w:num w:numId="15" w16cid:durableId="1832594823">
    <w:abstractNumId w:val="16"/>
  </w:num>
  <w:num w:numId="16" w16cid:durableId="465243448">
    <w:abstractNumId w:val="11"/>
  </w:num>
  <w:num w:numId="17" w16cid:durableId="1204438465">
    <w:abstractNumId w:val="26"/>
  </w:num>
  <w:num w:numId="18" w16cid:durableId="369917760">
    <w:abstractNumId w:val="12"/>
  </w:num>
  <w:num w:numId="19" w16cid:durableId="2100904642">
    <w:abstractNumId w:val="28"/>
  </w:num>
  <w:num w:numId="20" w16cid:durableId="38483095">
    <w:abstractNumId w:val="17"/>
  </w:num>
  <w:num w:numId="21" w16cid:durableId="1384527935">
    <w:abstractNumId w:val="20"/>
  </w:num>
  <w:num w:numId="22" w16cid:durableId="227304065">
    <w:abstractNumId w:val="14"/>
  </w:num>
  <w:num w:numId="23" w16cid:durableId="103699278">
    <w:abstractNumId w:val="29"/>
  </w:num>
  <w:num w:numId="24" w16cid:durableId="1568568086">
    <w:abstractNumId w:val="9"/>
  </w:num>
  <w:num w:numId="25" w16cid:durableId="1682466285">
    <w:abstractNumId w:val="8"/>
  </w:num>
  <w:num w:numId="26" w16cid:durableId="249630270">
    <w:abstractNumId w:val="7"/>
  </w:num>
  <w:num w:numId="27" w16cid:durableId="1204636005">
    <w:abstractNumId w:val="6"/>
  </w:num>
  <w:num w:numId="28" w16cid:durableId="1124731095">
    <w:abstractNumId w:val="5"/>
  </w:num>
  <w:num w:numId="29" w16cid:durableId="1144396616">
    <w:abstractNumId w:val="4"/>
  </w:num>
  <w:num w:numId="30" w16cid:durableId="849834008">
    <w:abstractNumId w:val="3"/>
  </w:num>
  <w:num w:numId="31" w16cid:durableId="1360932079">
    <w:abstractNumId w:val="2"/>
  </w:num>
  <w:num w:numId="32" w16cid:durableId="273563705">
    <w:abstractNumId w:val="1"/>
  </w:num>
  <w:num w:numId="33" w16cid:durableId="1140729106">
    <w:abstractNumId w:val="0"/>
  </w:num>
  <w:num w:numId="34" w16cid:durableId="44376116">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71"/>
    <w:rsid w:val="000117D4"/>
    <w:rsid w:val="000314D7"/>
    <w:rsid w:val="00034054"/>
    <w:rsid w:val="00045F8B"/>
    <w:rsid w:val="00046D2B"/>
    <w:rsid w:val="00056263"/>
    <w:rsid w:val="00064D8A"/>
    <w:rsid w:val="00064F82"/>
    <w:rsid w:val="00066510"/>
    <w:rsid w:val="00077523"/>
    <w:rsid w:val="000B1DFC"/>
    <w:rsid w:val="000C089F"/>
    <w:rsid w:val="000C3928"/>
    <w:rsid w:val="000C5683"/>
    <w:rsid w:val="000C5E8E"/>
    <w:rsid w:val="000F4751"/>
    <w:rsid w:val="0010524C"/>
    <w:rsid w:val="00111FB1"/>
    <w:rsid w:val="00113418"/>
    <w:rsid w:val="001356F1"/>
    <w:rsid w:val="00136994"/>
    <w:rsid w:val="0014128E"/>
    <w:rsid w:val="00151888"/>
    <w:rsid w:val="00170A2D"/>
    <w:rsid w:val="001808BC"/>
    <w:rsid w:val="00182B81"/>
    <w:rsid w:val="0018619D"/>
    <w:rsid w:val="001A011E"/>
    <w:rsid w:val="001A066A"/>
    <w:rsid w:val="001A13E6"/>
    <w:rsid w:val="001A5731"/>
    <w:rsid w:val="001B42C3"/>
    <w:rsid w:val="001C4F64"/>
    <w:rsid w:val="001C5D5E"/>
    <w:rsid w:val="001D678D"/>
    <w:rsid w:val="001E03F8"/>
    <w:rsid w:val="001E1678"/>
    <w:rsid w:val="001E3376"/>
    <w:rsid w:val="002069B3"/>
    <w:rsid w:val="002329CF"/>
    <w:rsid w:val="00232F5B"/>
    <w:rsid w:val="002331E2"/>
    <w:rsid w:val="00247C29"/>
    <w:rsid w:val="00252A87"/>
    <w:rsid w:val="00260467"/>
    <w:rsid w:val="00263EA3"/>
    <w:rsid w:val="00284F85"/>
    <w:rsid w:val="002870C3"/>
    <w:rsid w:val="00290915"/>
    <w:rsid w:val="002A22E2"/>
    <w:rsid w:val="002B2E66"/>
    <w:rsid w:val="002B6836"/>
    <w:rsid w:val="002C3416"/>
    <w:rsid w:val="002C64F7"/>
    <w:rsid w:val="002D32D9"/>
    <w:rsid w:val="002F41F2"/>
    <w:rsid w:val="00301BF3"/>
    <w:rsid w:val="0030208D"/>
    <w:rsid w:val="00323418"/>
    <w:rsid w:val="003357BF"/>
    <w:rsid w:val="00355181"/>
    <w:rsid w:val="00364FAD"/>
    <w:rsid w:val="0036738F"/>
    <w:rsid w:val="0036759C"/>
    <w:rsid w:val="00367AE5"/>
    <w:rsid w:val="00367D71"/>
    <w:rsid w:val="0038150A"/>
    <w:rsid w:val="003B1590"/>
    <w:rsid w:val="003B6E75"/>
    <w:rsid w:val="003B7DA1"/>
    <w:rsid w:val="003D0379"/>
    <w:rsid w:val="003D2574"/>
    <w:rsid w:val="003D4C59"/>
    <w:rsid w:val="003F4267"/>
    <w:rsid w:val="00404032"/>
    <w:rsid w:val="0040736F"/>
    <w:rsid w:val="00412C1F"/>
    <w:rsid w:val="00421CB2"/>
    <w:rsid w:val="004268B9"/>
    <w:rsid w:val="00433B96"/>
    <w:rsid w:val="004440F1"/>
    <w:rsid w:val="004456DD"/>
    <w:rsid w:val="00446CDF"/>
    <w:rsid w:val="004521B7"/>
    <w:rsid w:val="004548E0"/>
    <w:rsid w:val="00462AB5"/>
    <w:rsid w:val="00462D22"/>
    <w:rsid w:val="00465EAF"/>
    <w:rsid w:val="004738C5"/>
    <w:rsid w:val="0047737B"/>
    <w:rsid w:val="00491046"/>
    <w:rsid w:val="00496078"/>
    <w:rsid w:val="004A2AC7"/>
    <w:rsid w:val="004A6D2F"/>
    <w:rsid w:val="004B11AE"/>
    <w:rsid w:val="004C2887"/>
    <w:rsid w:val="004D2626"/>
    <w:rsid w:val="004D6E26"/>
    <w:rsid w:val="004D77D3"/>
    <w:rsid w:val="004E2959"/>
    <w:rsid w:val="004F20EF"/>
    <w:rsid w:val="0050321C"/>
    <w:rsid w:val="00507ECC"/>
    <w:rsid w:val="0054280B"/>
    <w:rsid w:val="0054712D"/>
    <w:rsid w:val="00547EF6"/>
    <w:rsid w:val="005570B5"/>
    <w:rsid w:val="00567E18"/>
    <w:rsid w:val="00575F5F"/>
    <w:rsid w:val="00581805"/>
    <w:rsid w:val="00585F76"/>
    <w:rsid w:val="005A34E4"/>
    <w:rsid w:val="005A6610"/>
    <w:rsid w:val="005B17F2"/>
    <w:rsid w:val="005B7FB0"/>
    <w:rsid w:val="005C35A5"/>
    <w:rsid w:val="005C577C"/>
    <w:rsid w:val="005D0621"/>
    <w:rsid w:val="005D1E27"/>
    <w:rsid w:val="005D2A3E"/>
    <w:rsid w:val="005E022E"/>
    <w:rsid w:val="005E5215"/>
    <w:rsid w:val="005F7F7E"/>
    <w:rsid w:val="00614693"/>
    <w:rsid w:val="00623C2F"/>
    <w:rsid w:val="00633578"/>
    <w:rsid w:val="00637068"/>
    <w:rsid w:val="00644F45"/>
    <w:rsid w:val="00650811"/>
    <w:rsid w:val="00661D3E"/>
    <w:rsid w:val="00692627"/>
    <w:rsid w:val="006969E7"/>
    <w:rsid w:val="006A3643"/>
    <w:rsid w:val="006B10C2"/>
    <w:rsid w:val="006C2A29"/>
    <w:rsid w:val="006C64CF"/>
    <w:rsid w:val="006D17B1"/>
    <w:rsid w:val="006D4752"/>
    <w:rsid w:val="006D708A"/>
    <w:rsid w:val="006E14C1"/>
    <w:rsid w:val="006F0292"/>
    <w:rsid w:val="006F27FA"/>
    <w:rsid w:val="006F416B"/>
    <w:rsid w:val="006F519B"/>
    <w:rsid w:val="00713266"/>
    <w:rsid w:val="00713675"/>
    <w:rsid w:val="00713DC7"/>
    <w:rsid w:val="00715823"/>
    <w:rsid w:val="007253EF"/>
    <w:rsid w:val="00737B93"/>
    <w:rsid w:val="00745BF0"/>
    <w:rsid w:val="00751EA3"/>
    <w:rsid w:val="007615FE"/>
    <w:rsid w:val="0076655C"/>
    <w:rsid w:val="007742DC"/>
    <w:rsid w:val="00791437"/>
    <w:rsid w:val="007B0C2C"/>
    <w:rsid w:val="007B278E"/>
    <w:rsid w:val="007B5CA2"/>
    <w:rsid w:val="007C5C23"/>
    <w:rsid w:val="007E2A26"/>
    <w:rsid w:val="007F2348"/>
    <w:rsid w:val="007F4757"/>
    <w:rsid w:val="00803F07"/>
    <w:rsid w:val="0080749A"/>
    <w:rsid w:val="00821FB8"/>
    <w:rsid w:val="00822ACD"/>
    <w:rsid w:val="00855C66"/>
    <w:rsid w:val="00871EE4"/>
    <w:rsid w:val="008954DF"/>
    <w:rsid w:val="008B293F"/>
    <w:rsid w:val="008B7371"/>
    <w:rsid w:val="008D2604"/>
    <w:rsid w:val="008D3DDB"/>
    <w:rsid w:val="008F3B04"/>
    <w:rsid w:val="008F573F"/>
    <w:rsid w:val="009034EC"/>
    <w:rsid w:val="00914230"/>
    <w:rsid w:val="00914F23"/>
    <w:rsid w:val="009231FF"/>
    <w:rsid w:val="0093067A"/>
    <w:rsid w:val="00941C60"/>
    <w:rsid w:val="00941FD1"/>
    <w:rsid w:val="0094673C"/>
    <w:rsid w:val="00950824"/>
    <w:rsid w:val="00966D42"/>
    <w:rsid w:val="00971689"/>
    <w:rsid w:val="0097170F"/>
    <w:rsid w:val="00973E90"/>
    <w:rsid w:val="00975B07"/>
    <w:rsid w:val="00977463"/>
    <w:rsid w:val="00980B4A"/>
    <w:rsid w:val="00982364"/>
    <w:rsid w:val="00986903"/>
    <w:rsid w:val="009A5636"/>
    <w:rsid w:val="009B3E8A"/>
    <w:rsid w:val="009E3D0A"/>
    <w:rsid w:val="009E51FC"/>
    <w:rsid w:val="009F1D28"/>
    <w:rsid w:val="009F7618"/>
    <w:rsid w:val="00A04D23"/>
    <w:rsid w:val="00A06766"/>
    <w:rsid w:val="00A13765"/>
    <w:rsid w:val="00A21B12"/>
    <w:rsid w:val="00A23F80"/>
    <w:rsid w:val="00A3117F"/>
    <w:rsid w:val="00A46E98"/>
    <w:rsid w:val="00A6352B"/>
    <w:rsid w:val="00A701B5"/>
    <w:rsid w:val="00A714BB"/>
    <w:rsid w:val="00A77147"/>
    <w:rsid w:val="00A92D8F"/>
    <w:rsid w:val="00AB2988"/>
    <w:rsid w:val="00AB7999"/>
    <w:rsid w:val="00AD3292"/>
    <w:rsid w:val="00AE1684"/>
    <w:rsid w:val="00AE7AF0"/>
    <w:rsid w:val="00B500CA"/>
    <w:rsid w:val="00B86314"/>
    <w:rsid w:val="00BA1C2E"/>
    <w:rsid w:val="00BC200B"/>
    <w:rsid w:val="00BC4756"/>
    <w:rsid w:val="00BC69A4"/>
    <w:rsid w:val="00BE0680"/>
    <w:rsid w:val="00BE1956"/>
    <w:rsid w:val="00BE305F"/>
    <w:rsid w:val="00BE7BA3"/>
    <w:rsid w:val="00BF5682"/>
    <w:rsid w:val="00BF7B09"/>
    <w:rsid w:val="00C05260"/>
    <w:rsid w:val="00C076B9"/>
    <w:rsid w:val="00C20A95"/>
    <w:rsid w:val="00C25E21"/>
    <w:rsid w:val="00C2692F"/>
    <w:rsid w:val="00C3207C"/>
    <w:rsid w:val="00C3505D"/>
    <w:rsid w:val="00C400E1"/>
    <w:rsid w:val="00C41187"/>
    <w:rsid w:val="00C63C31"/>
    <w:rsid w:val="00C757A0"/>
    <w:rsid w:val="00C760DE"/>
    <w:rsid w:val="00C82630"/>
    <w:rsid w:val="00C85B4E"/>
    <w:rsid w:val="00C907F7"/>
    <w:rsid w:val="00C93D3F"/>
    <w:rsid w:val="00C962FE"/>
    <w:rsid w:val="00CA2103"/>
    <w:rsid w:val="00CB21E8"/>
    <w:rsid w:val="00CB6B99"/>
    <w:rsid w:val="00CE4C87"/>
    <w:rsid w:val="00CE544A"/>
    <w:rsid w:val="00D10FB8"/>
    <w:rsid w:val="00D11E1C"/>
    <w:rsid w:val="00D160B0"/>
    <w:rsid w:val="00D17F94"/>
    <w:rsid w:val="00D223FC"/>
    <w:rsid w:val="00D26D1E"/>
    <w:rsid w:val="00D474CF"/>
    <w:rsid w:val="00D5547E"/>
    <w:rsid w:val="00D81A80"/>
    <w:rsid w:val="00D860E2"/>
    <w:rsid w:val="00D869A1"/>
    <w:rsid w:val="00DA413F"/>
    <w:rsid w:val="00DA4584"/>
    <w:rsid w:val="00DA578B"/>
    <w:rsid w:val="00DA614B"/>
    <w:rsid w:val="00DB7AD7"/>
    <w:rsid w:val="00DC3060"/>
    <w:rsid w:val="00DD0BB8"/>
    <w:rsid w:val="00DE0FB2"/>
    <w:rsid w:val="00DF093E"/>
    <w:rsid w:val="00E01F42"/>
    <w:rsid w:val="00E206D6"/>
    <w:rsid w:val="00E3366E"/>
    <w:rsid w:val="00E52086"/>
    <w:rsid w:val="00E52878"/>
    <w:rsid w:val="00E543A6"/>
    <w:rsid w:val="00E60479"/>
    <w:rsid w:val="00E61D73"/>
    <w:rsid w:val="00E73684"/>
    <w:rsid w:val="00E767AC"/>
    <w:rsid w:val="00E818D6"/>
    <w:rsid w:val="00E87F7A"/>
    <w:rsid w:val="00E94B3E"/>
    <w:rsid w:val="00E96BD7"/>
    <w:rsid w:val="00EA0DB1"/>
    <w:rsid w:val="00EA0EE9"/>
    <w:rsid w:val="00ED52CA"/>
    <w:rsid w:val="00ED5860"/>
    <w:rsid w:val="00EE35C9"/>
    <w:rsid w:val="00F05ECA"/>
    <w:rsid w:val="00F26E21"/>
    <w:rsid w:val="00F3566E"/>
    <w:rsid w:val="00F36C21"/>
    <w:rsid w:val="00F375FB"/>
    <w:rsid w:val="00F41AC1"/>
    <w:rsid w:val="00F4367A"/>
    <w:rsid w:val="00F445B1"/>
    <w:rsid w:val="00F45CD4"/>
    <w:rsid w:val="00F64024"/>
    <w:rsid w:val="00F66DCA"/>
    <w:rsid w:val="00F74F53"/>
    <w:rsid w:val="00F7606D"/>
    <w:rsid w:val="00F81670"/>
    <w:rsid w:val="00F82024"/>
    <w:rsid w:val="00F82D4F"/>
    <w:rsid w:val="00F865A3"/>
    <w:rsid w:val="00F901DA"/>
    <w:rsid w:val="00F95BC9"/>
    <w:rsid w:val="00FA624C"/>
    <w:rsid w:val="00FB3B71"/>
    <w:rsid w:val="00FD0FAC"/>
    <w:rsid w:val="00FD1DFA"/>
    <w:rsid w:val="00FD4966"/>
    <w:rsid w:val="00FE57DC"/>
    <w:rsid w:val="00FF0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BC99C36"/>
  <w15:docId w15:val="{5B2BA3E5-8E0C-4EC8-9220-F637E856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2B6836"/>
    <w:pPr>
      <w:spacing w:before="240"/>
      <w:outlineLvl w:val="0"/>
    </w:pPr>
    <w:rPr>
      <w:b/>
    </w:rPr>
  </w:style>
  <w:style w:type="paragraph" w:styleId="Heading2">
    <w:name w:val="heading 2"/>
    <w:aliases w:val="Sub-heading"/>
    <w:basedOn w:val="Normal"/>
    <w:next w:val="Normal"/>
    <w:qFormat/>
    <w:rsid w:val="00F26E21"/>
    <w:pPr>
      <w:spacing w:before="12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link w:val="FooterChar"/>
    <w:uiPriority w:val="99"/>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16"/>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14"/>
      </w:numPr>
      <w:tabs>
        <w:tab w:val="left" w:pos="426"/>
      </w:tabs>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3"/>
      </w:numPr>
    </w:pPr>
  </w:style>
  <w:style w:type="paragraph" w:customStyle="1" w:styleId="Bulletpoints">
    <w:name w:val="Bullet points"/>
    <w:basedOn w:val="Normal"/>
    <w:link w:val="BulletpointsChar"/>
    <w:qFormat/>
    <w:rsid w:val="005570B5"/>
    <w:pPr>
      <w:numPr>
        <w:numId w:val="15"/>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ooterChar">
    <w:name w:val="Footer Char"/>
    <w:aliases w:val="zzFooter Char"/>
    <w:link w:val="Footer"/>
    <w:uiPriority w:val="99"/>
    <w:rsid w:val="004B11AE"/>
    <w:rPr>
      <w:color w:val="000000"/>
      <w:sz w:val="18"/>
      <w:szCs w:val="24"/>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23"/>
      </w:numPr>
      <w:ind w:left="993" w:hanging="426"/>
    </w:pPr>
  </w:style>
  <w:style w:type="character" w:customStyle="1" w:styleId="Heading1Char">
    <w:name w:val="Heading 1 Char"/>
    <w:aliases w:val="aHeading Char"/>
    <w:link w:val="Heading1"/>
    <w:rsid w:val="002B6836"/>
    <w:rPr>
      <w:b/>
      <w:color w:val="000000"/>
      <w:sz w:val="24"/>
      <w:szCs w:val="24"/>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table" w:styleId="TableColumns1">
    <w:name w:val="Table Columns 1"/>
    <w:basedOn w:val="TableNormal"/>
    <w:rsid w:val="00507ECC"/>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507ECC"/>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3">
    <w:name w:val="Table Grid 3"/>
    <w:basedOn w:val="TableNormal"/>
    <w:rsid w:val="00507ECC"/>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ghtList-Accent1">
    <w:name w:val="Light List Accent 1"/>
    <w:basedOn w:val="TableNormal"/>
    <w:uiPriority w:val="61"/>
    <w:rsid w:val="00507EC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CommentTextChar">
    <w:name w:val="Comment Text Char"/>
    <w:basedOn w:val="DefaultParagraphFont"/>
    <w:link w:val="CommentText"/>
    <w:semiHidden/>
    <w:rsid w:val="009231F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181555554">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298146525">
      <w:bodyDiv w:val="1"/>
      <w:marLeft w:val="0"/>
      <w:marRight w:val="0"/>
      <w:marTop w:val="0"/>
      <w:marBottom w:val="0"/>
      <w:divBdr>
        <w:top w:val="none" w:sz="0" w:space="0" w:color="auto"/>
        <w:left w:val="none" w:sz="0" w:space="0" w:color="auto"/>
        <w:bottom w:val="none" w:sz="0" w:space="0" w:color="auto"/>
        <w:right w:val="none" w:sz="0" w:space="0" w:color="auto"/>
      </w:divBdr>
    </w:div>
    <w:div w:id="325087956">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464084073">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54129367">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639531519">
      <w:bodyDiv w:val="1"/>
      <w:marLeft w:val="0"/>
      <w:marRight w:val="0"/>
      <w:marTop w:val="0"/>
      <w:marBottom w:val="0"/>
      <w:divBdr>
        <w:top w:val="none" w:sz="0" w:space="0" w:color="auto"/>
        <w:left w:val="none" w:sz="0" w:space="0" w:color="auto"/>
        <w:bottom w:val="none" w:sz="0" w:space="0" w:color="auto"/>
        <w:right w:val="none" w:sz="0" w:space="0" w:color="auto"/>
      </w:divBdr>
    </w:div>
    <w:div w:id="197744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1B166-2174-46E2-AC83-6538A0FFA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2005</Words>
  <Characters>10401</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OxCityCouncil Cabinet report</vt:lpstr>
    </vt:vector>
  </TitlesOfParts>
  <Company>Oxford City Council</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OxCityCouncil Cabinet report</dc:title>
  <dc:creator>jmitchell</dc:creator>
  <cp:keywords>OxCityCouncil Report</cp:keywords>
  <cp:lastModifiedBy>MALTON Jonathan</cp:lastModifiedBy>
  <cp:revision>2</cp:revision>
  <cp:lastPrinted>2015-07-03T13:50:00Z</cp:lastPrinted>
  <dcterms:created xsi:type="dcterms:W3CDTF">2025-01-14T16:00:00Z</dcterms:created>
  <dcterms:modified xsi:type="dcterms:W3CDTF">2025-01-14T16:00:00Z</dcterms:modified>
  <cp:category>Report to Council or Committee</cp:category>
</cp:coreProperties>
</file>